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EB8B" w14:textId="77777777" w:rsidR="00F54EC4" w:rsidRDefault="00C84CE3">
      <w:pPr>
        <w:spacing w:after="120" w:line="268" w:lineRule="auto"/>
      </w:pPr>
      <w:r>
        <w:rPr>
          <w:noProof/>
        </w:rPr>
        <w:drawing>
          <wp:inline distT="0" distB="0" distL="0" distR="0" wp14:anchorId="08AEAF82" wp14:editId="308FCD51">
            <wp:extent cx="2152650" cy="8286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52650" cy="828675"/>
                    </a:xfrm>
                    <a:prstGeom prst="rect">
                      <a:avLst/>
                    </a:prstGeom>
                    <a:ln/>
                  </pic:spPr>
                </pic:pic>
              </a:graphicData>
            </a:graphic>
          </wp:inline>
        </w:drawing>
      </w:r>
    </w:p>
    <w:p w14:paraId="3C9E2756" w14:textId="77777777" w:rsidR="00166DF2" w:rsidRDefault="00166DF2" w:rsidP="00166DF2">
      <w:pPr>
        <w:spacing w:after="300" w:line="244" w:lineRule="auto"/>
        <w:rPr>
          <w:b/>
          <w:sz w:val="32"/>
          <w:szCs w:val="32"/>
        </w:rPr>
      </w:pPr>
    </w:p>
    <w:p w14:paraId="1A57E10A" w14:textId="77777777" w:rsidR="00F54EC4" w:rsidRDefault="00166DF2" w:rsidP="00166DF2">
      <w:pPr>
        <w:spacing w:after="300" w:line="244" w:lineRule="auto"/>
      </w:pPr>
      <w:r>
        <w:rPr>
          <w:b/>
          <w:sz w:val="32"/>
          <w:szCs w:val="32"/>
        </w:rPr>
        <w:t>Carbon reduction plan Guidance</w:t>
      </w:r>
    </w:p>
    <w:p w14:paraId="38610B75" w14:textId="77777777" w:rsidR="00F54EC4" w:rsidRDefault="00C84CE3">
      <w:pPr>
        <w:pStyle w:val="Heading1"/>
        <w:numPr>
          <w:ilvl w:val="0"/>
          <w:numId w:val="1"/>
        </w:numPr>
        <w:tabs>
          <w:tab w:val="left" w:pos="0"/>
        </w:tabs>
        <w:spacing w:before="360" w:after="0"/>
        <w:rPr>
          <w:sz w:val="28"/>
          <w:szCs w:val="28"/>
        </w:rPr>
      </w:pPr>
      <w:bookmarkStart w:id="0" w:name="_gjdgxs" w:colFirst="0" w:colLast="0"/>
      <w:bookmarkEnd w:id="0"/>
      <w:r>
        <w:rPr>
          <w:sz w:val="28"/>
          <w:szCs w:val="28"/>
        </w:rPr>
        <w:t>Notes for Completion</w:t>
      </w:r>
    </w:p>
    <w:p w14:paraId="7E0164A3" w14:textId="77777777" w:rsidR="00166DF2" w:rsidRPr="00166DF2" w:rsidRDefault="00166DF2" w:rsidP="00166DF2"/>
    <w:p w14:paraId="167EB8F4" w14:textId="77777777" w:rsidR="00F54EC4" w:rsidRPr="00166DF2" w:rsidRDefault="00C84CE3">
      <w:pPr>
        <w:spacing w:after="120" w:line="240" w:lineRule="auto"/>
        <w:jc w:val="both"/>
        <w:rPr>
          <w:sz w:val="27"/>
          <w:szCs w:val="27"/>
        </w:rPr>
      </w:pPr>
      <w:r w:rsidRPr="00166DF2">
        <w:rPr>
          <w:color w:val="000000"/>
          <w:sz w:val="27"/>
          <w:szCs w:val="27"/>
        </w:rPr>
        <w:t>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p>
    <w:p w14:paraId="168A264F" w14:textId="77777777" w:rsidR="00F54EC4" w:rsidRPr="00166DF2" w:rsidRDefault="00C84CE3">
      <w:pPr>
        <w:spacing w:after="120" w:line="240" w:lineRule="auto"/>
        <w:jc w:val="both"/>
        <w:rPr>
          <w:sz w:val="27"/>
          <w:szCs w:val="27"/>
        </w:rPr>
      </w:pPr>
      <w:r w:rsidRPr="00166DF2">
        <w:rPr>
          <w:color w:val="000000"/>
          <w:sz w:val="27"/>
          <w:szCs w:val="27"/>
        </w:rPr>
        <w:t>Carbon Reduction Plans are to be completed by the bidding supplier</w:t>
      </w:r>
      <w:r w:rsidRPr="00166DF2">
        <w:rPr>
          <w:color w:val="000000"/>
          <w:sz w:val="27"/>
          <w:szCs w:val="27"/>
          <w:vertAlign w:val="superscript"/>
        </w:rPr>
        <w:footnoteReference w:id="1"/>
      </w:r>
      <w:r w:rsidRPr="00166DF2">
        <w:rPr>
          <w:color w:val="000000"/>
          <w:sz w:val="27"/>
          <w:szCs w:val="27"/>
        </w:rPr>
        <w:t xml:space="preserve"> and must meet the reporting requirements set out in supporting </w:t>
      </w:r>
      <w:proofErr w:type="gramStart"/>
      <w:r w:rsidRPr="00166DF2">
        <w:rPr>
          <w:color w:val="000000"/>
          <w:sz w:val="27"/>
          <w:szCs w:val="27"/>
        </w:rPr>
        <w:t>guidance, and</w:t>
      </w:r>
      <w:proofErr w:type="gramEnd"/>
      <w:r w:rsidRPr="00166DF2">
        <w:rPr>
          <w:color w:val="000000"/>
          <w:sz w:val="27"/>
          <w:szCs w:val="27"/>
        </w:rPr>
        <w:t xml:space="preserve"> include the supplier’s current carbon footprint and its commitment to reducing emissions to achieve Net Zero emissions by 2050.</w:t>
      </w:r>
    </w:p>
    <w:p w14:paraId="4CEC6AFB" w14:textId="77777777" w:rsidR="00F54EC4" w:rsidRPr="00166DF2" w:rsidRDefault="00C84CE3">
      <w:pPr>
        <w:spacing w:line="240" w:lineRule="auto"/>
        <w:rPr>
          <w:sz w:val="27"/>
          <w:szCs w:val="27"/>
        </w:rPr>
      </w:pPr>
      <w:r w:rsidRPr="00166DF2">
        <w:rPr>
          <w:color w:val="000000"/>
          <w:sz w:val="27"/>
          <w:szCs w:val="27"/>
        </w:rPr>
        <w:t xml:space="preserve">The CRP should be specific to the bidding entity, or, provided certain criteria are met, may cover the bidding entity and its parent organisation. </w:t>
      </w:r>
      <w:proofErr w:type="gramStart"/>
      <w:r w:rsidRPr="00166DF2">
        <w:rPr>
          <w:color w:val="000000"/>
          <w:sz w:val="27"/>
          <w:szCs w:val="27"/>
        </w:rPr>
        <w:t>In order to</w:t>
      </w:r>
      <w:proofErr w:type="gramEnd"/>
      <w:r w:rsidRPr="00166DF2">
        <w:rPr>
          <w:color w:val="000000"/>
          <w:sz w:val="27"/>
          <w:szCs w:val="27"/>
        </w:rPr>
        <w:t xml:space="preserve"> ensure the CRP remains relevant, a Carbon Reduction Plan covering the bidding entity and its parent organisation is only permissible where the detailed requirements of the CRP are met in full, as set out in the Technical Standard</w:t>
      </w:r>
      <w:r w:rsidRPr="00166DF2">
        <w:rPr>
          <w:color w:val="000000"/>
          <w:sz w:val="27"/>
          <w:szCs w:val="27"/>
          <w:vertAlign w:val="superscript"/>
        </w:rPr>
        <w:footnoteReference w:id="2"/>
      </w:r>
      <w:r w:rsidRPr="00166DF2">
        <w:rPr>
          <w:color w:val="000000"/>
          <w:sz w:val="27"/>
          <w:szCs w:val="27"/>
        </w:rPr>
        <w:t xml:space="preserve"> and Guidance, and </w:t>
      </w:r>
      <w:proofErr w:type="gramStart"/>
      <w:r w:rsidRPr="00166DF2">
        <w:rPr>
          <w:color w:val="000000"/>
          <w:sz w:val="27"/>
          <w:szCs w:val="27"/>
        </w:rPr>
        <w:t>all of</w:t>
      </w:r>
      <w:proofErr w:type="gramEnd"/>
      <w:r w:rsidRPr="00166DF2">
        <w:rPr>
          <w:color w:val="000000"/>
          <w:sz w:val="27"/>
          <w:szCs w:val="27"/>
        </w:rPr>
        <w:t xml:space="preserve"> the following criteria are met: </w:t>
      </w:r>
    </w:p>
    <w:p w14:paraId="24D10790" w14:textId="77777777" w:rsidR="00F54EC4" w:rsidRPr="00166DF2" w:rsidRDefault="00C84CE3">
      <w:pPr>
        <w:numPr>
          <w:ilvl w:val="0"/>
          <w:numId w:val="2"/>
        </w:numPr>
        <w:spacing w:line="240" w:lineRule="auto"/>
        <w:rPr>
          <w:sz w:val="27"/>
          <w:szCs w:val="27"/>
        </w:rPr>
      </w:pPr>
      <w:r w:rsidRPr="00166DF2">
        <w:rPr>
          <w:color w:val="000000"/>
          <w:sz w:val="27"/>
          <w:szCs w:val="27"/>
        </w:rPr>
        <w:t>the bidding entity is wholly owned by the parent </w:t>
      </w:r>
    </w:p>
    <w:p w14:paraId="021BD3C4" w14:textId="77777777" w:rsidR="00F54EC4" w:rsidRPr="00166DF2" w:rsidRDefault="00C84CE3">
      <w:pPr>
        <w:numPr>
          <w:ilvl w:val="0"/>
          <w:numId w:val="2"/>
        </w:numPr>
        <w:spacing w:line="240" w:lineRule="auto"/>
        <w:rPr>
          <w:sz w:val="27"/>
          <w:szCs w:val="27"/>
        </w:rPr>
      </w:pPr>
      <w:r w:rsidRPr="00166DF2">
        <w:rPr>
          <w:color w:val="000000"/>
          <w:sz w:val="27"/>
          <w:szCs w:val="27"/>
        </w:rPr>
        <w:t>the commitment to achieving net zero by 2050 for UK operations is set out in the CRP for the parent and is supported and adopted by the bidding entity, demonstrated by the inclusion in the CRP of a statement that this will apply to the bidding entity</w:t>
      </w:r>
    </w:p>
    <w:p w14:paraId="0097BF61" w14:textId="77777777" w:rsidR="00F54EC4" w:rsidRPr="00166DF2" w:rsidRDefault="00C84CE3">
      <w:pPr>
        <w:numPr>
          <w:ilvl w:val="0"/>
          <w:numId w:val="2"/>
        </w:numPr>
        <w:spacing w:line="240" w:lineRule="auto"/>
        <w:rPr>
          <w:sz w:val="27"/>
          <w:szCs w:val="27"/>
        </w:rPr>
      </w:pPr>
      <w:r w:rsidRPr="00166DF2">
        <w:rPr>
          <w:color w:val="000000"/>
          <w:sz w:val="27"/>
          <w:szCs w:val="27"/>
        </w:rPr>
        <w:t>the environmental measures set out are stated to be able to be applied by the bidding entity when performing the relevant contract</w:t>
      </w:r>
    </w:p>
    <w:p w14:paraId="5895900E" w14:textId="77777777" w:rsidR="00F54EC4" w:rsidRPr="00166DF2" w:rsidRDefault="00C84CE3">
      <w:pPr>
        <w:numPr>
          <w:ilvl w:val="0"/>
          <w:numId w:val="2"/>
        </w:numPr>
        <w:spacing w:line="240" w:lineRule="auto"/>
        <w:rPr>
          <w:sz w:val="27"/>
          <w:szCs w:val="27"/>
        </w:rPr>
      </w:pPr>
      <w:r w:rsidRPr="00166DF2">
        <w:rPr>
          <w:color w:val="000000"/>
          <w:sz w:val="27"/>
          <w:szCs w:val="27"/>
        </w:rPr>
        <w:t>the CRP is published on the bidding entity’s website    </w:t>
      </w:r>
    </w:p>
    <w:p w14:paraId="7CC4532D" w14:textId="77777777" w:rsidR="00F54EC4" w:rsidRPr="00166DF2" w:rsidRDefault="00F54EC4">
      <w:pPr>
        <w:rPr>
          <w:rFonts w:ascii="Times New Roman" w:eastAsia="Times New Roman" w:hAnsi="Times New Roman" w:cs="Times New Roman"/>
          <w:sz w:val="27"/>
          <w:szCs w:val="27"/>
        </w:rPr>
      </w:pPr>
    </w:p>
    <w:p w14:paraId="12B7DA3D" w14:textId="77777777" w:rsidR="00F54EC4" w:rsidRPr="00166DF2" w:rsidRDefault="00C84CE3">
      <w:pPr>
        <w:spacing w:line="240" w:lineRule="auto"/>
        <w:rPr>
          <w:sz w:val="27"/>
          <w:szCs w:val="27"/>
        </w:rPr>
      </w:pPr>
      <w:r w:rsidRPr="00166DF2">
        <w:rPr>
          <w:color w:val="000000"/>
          <w:sz w:val="27"/>
          <w:szCs w:val="27"/>
        </w:rPr>
        <w:t xml:space="preserve">Bidding entities must take steps to ensure they have their own CRP as soon as reasonably practicable and should note that the ability to rely on a parent organisation’s Carbon Reduction Plan may only be a temporary measure to satisfy this </w:t>
      </w:r>
      <w:proofErr w:type="gramStart"/>
      <w:r w:rsidRPr="00166DF2">
        <w:rPr>
          <w:color w:val="000000"/>
          <w:sz w:val="27"/>
          <w:szCs w:val="27"/>
        </w:rPr>
        <w:t>particular condition</w:t>
      </w:r>
      <w:proofErr w:type="gramEnd"/>
      <w:r w:rsidRPr="00166DF2">
        <w:rPr>
          <w:color w:val="000000"/>
          <w:sz w:val="27"/>
          <w:szCs w:val="27"/>
        </w:rPr>
        <w:t xml:space="preserve"> of participation. </w:t>
      </w:r>
    </w:p>
    <w:p w14:paraId="323C176D" w14:textId="77777777" w:rsidR="00F54EC4" w:rsidRPr="00166DF2" w:rsidRDefault="00F54EC4">
      <w:pPr>
        <w:spacing w:after="120" w:line="240" w:lineRule="auto"/>
        <w:jc w:val="both"/>
        <w:rPr>
          <w:color w:val="000000"/>
          <w:sz w:val="27"/>
          <w:szCs w:val="27"/>
        </w:rPr>
      </w:pPr>
    </w:p>
    <w:p w14:paraId="465B6C17" w14:textId="77777777" w:rsidR="00F54EC4" w:rsidRPr="00166DF2" w:rsidRDefault="00C84CE3">
      <w:pPr>
        <w:spacing w:after="120" w:line="240" w:lineRule="auto"/>
        <w:jc w:val="both"/>
        <w:rPr>
          <w:sz w:val="27"/>
          <w:szCs w:val="27"/>
        </w:rPr>
      </w:pPr>
      <w:r w:rsidRPr="00166DF2">
        <w:rPr>
          <w:color w:val="000000"/>
          <w:sz w:val="27"/>
          <w:szCs w:val="27"/>
        </w:rPr>
        <w:lastRenderedPageBreak/>
        <w:t>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p>
    <w:p w14:paraId="3C4E90BD" w14:textId="77777777" w:rsidR="00F54EC4" w:rsidRPr="00166DF2" w:rsidRDefault="00C84CE3">
      <w:pPr>
        <w:spacing w:after="120" w:line="240" w:lineRule="auto"/>
        <w:jc w:val="both"/>
        <w:rPr>
          <w:sz w:val="27"/>
          <w:szCs w:val="27"/>
        </w:rPr>
      </w:pPr>
      <w:r w:rsidRPr="00166DF2">
        <w:rPr>
          <w:color w:val="000000"/>
          <w:sz w:val="27"/>
          <w:szCs w:val="27"/>
        </w:rPr>
        <w:t>A template for the Carbon Reduction Plan is set out below. Please complete and publish your Carbon Reduction Plan in accordance with the reporting standard published alongside this PPN.</w:t>
      </w:r>
    </w:p>
    <w:p w14:paraId="2D136918" w14:textId="77777777" w:rsidR="00F54EC4" w:rsidRPr="00166DF2" w:rsidRDefault="00F54EC4">
      <w:pPr>
        <w:spacing w:after="120" w:line="240" w:lineRule="auto"/>
        <w:jc w:val="both"/>
        <w:rPr>
          <w:sz w:val="27"/>
          <w:szCs w:val="27"/>
        </w:rPr>
      </w:pPr>
    </w:p>
    <w:p w14:paraId="5CB38DAA" w14:textId="77777777" w:rsidR="00F54EC4" w:rsidRDefault="00C84CE3" w:rsidP="00166DF2">
      <w:pPr>
        <w:pStyle w:val="Title"/>
        <w:spacing w:after="120" w:line="268" w:lineRule="auto"/>
      </w:pPr>
      <w:r>
        <w:t>Carbon Reduction Plan Template</w:t>
      </w:r>
    </w:p>
    <w:p w14:paraId="6F4EABB1" w14:textId="0F401742" w:rsidR="00F54EC4" w:rsidRDefault="00C84CE3">
      <w:pPr>
        <w:spacing w:after="120" w:line="268" w:lineRule="auto"/>
        <w:jc w:val="both"/>
      </w:pPr>
      <w:r>
        <w:rPr>
          <w:sz w:val="28"/>
          <w:szCs w:val="28"/>
        </w:rPr>
        <w:t>Supplier name:</w:t>
      </w:r>
      <w:r>
        <w:t xml:space="preserve"> </w:t>
      </w:r>
      <w:r w:rsidR="00EB0F73">
        <w:t>Townsend and Renaudon LLP</w:t>
      </w:r>
    </w:p>
    <w:p w14:paraId="381D8596" w14:textId="28C90509" w:rsidR="00F54EC4" w:rsidRDefault="00C84CE3">
      <w:pPr>
        <w:spacing w:after="120" w:line="268" w:lineRule="auto"/>
        <w:jc w:val="both"/>
      </w:pPr>
      <w:r>
        <w:rPr>
          <w:sz w:val="28"/>
          <w:szCs w:val="28"/>
        </w:rPr>
        <w:t>Publication date:</w:t>
      </w:r>
      <w:r>
        <w:t xml:space="preserve"> </w:t>
      </w:r>
    </w:p>
    <w:p w14:paraId="5F9A8EB4" w14:textId="77777777" w:rsidR="00F54EC4" w:rsidRDefault="00C84CE3">
      <w:pPr>
        <w:pStyle w:val="Heading1"/>
        <w:numPr>
          <w:ilvl w:val="0"/>
          <w:numId w:val="1"/>
        </w:numPr>
        <w:tabs>
          <w:tab w:val="left" w:pos="0"/>
        </w:tabs>
        <w:spacing w:before="360" w:after="0" w:line="268" w:lineRule="auto"/>
        <w:jc w:val="both"/>
      </w:pPr>
      <w:bookmarkStart w:id="1" w:name="_30j0zll" w:colFirst="0" w:colLast="0"/>
      <w:bookmarkEnd w:id="1"/>
      <w:r>
        <w:rPr>
          <w:b/>
          <w:sz w:val="28"/>
          <w:szCs w:val="28"/>
        </w:rPr>
        <w:t>Commitment to achieving Net Zero</w:t>
      </w:r>
    </w:p>
    <w:p w14:paraId="7952506F" w14:textId="77777777" w:rsidR="00687A70" w:rsidRPr="00687A70" w:rsidRDefault="00687A70">
      <w:pPr>
        <w:pStyle w:val="Heading1"/>
        <w:keepNext w:val="0"/>
        <w:keepLines w:val="0"/>
        <w:numPr>
          <w:ilvl w:val="0"/>
          <w:numId w:val="1"/>
        </w:numPr>
        <w:tabs>
          <w:tab w:val="left" w:pos="0"/>
        </w:tabs>
        <w:spacing w:before="0" w:after="0" w:line="268" w:lineRule="auto"/>
        <w:jc w:val="both"/>
        <w:rPr>
          <w:color w:val="auto"/>
          <w:sz w:val="27"/>
          <w:szCs w:val="27"/>
        </w:rPr>
      </w:pPr>
      <w:bookmarkStart w:id="2" w:name="_1fob9te" w:colFirst="0" w:colLast="0"/>
      <w:bookmarkEnd w:id="2"/>
    </w:p>
    <w:p w14:paraId="4761669B" w14:textId="43B7B2C7" w:rsidR="00F54EC4" w:rsidRPr="00687A70" w:rsidRDefault="00EB0F73">
      <w:pPr>
        <w:pStyle w:val="Heading1"/>
        <w:keepNext w:val="0"/>
        <w:keepLines w:val="0"/>
        <w:numPr>
          <w:ilvl w:val="0"/>
          <w:numId w:val="1"/>
        </w:numPr>
        <w:tabs>
          <w:tab w:val="left" w:pos="0"/>
        </w:tabs>
        <w:spacing w:before="0" w:after="0" w:line="268" w:lineRule="auto"/>
        <w:jc w:val="both"/>
        <w:rPr>
          <w:color w:val="auto"/>
          <w:sz w:val="27"/>
          <w:szCs w:val="27"/>
        </w:rPr>
      </w:pPr>
      <w:r w:rsidRPr="00687A70">
        <w:rPr>
          <w:b/>
          <w:color w:val="auto"/>
          <w:sz w:val="27"/>
          <w:szCs w:val="27"/>
        </w:rPr>
        <w:t>Townsend and Renaudon LLP</w:t>
      </w:r>
      <w:r w:rsidR="00C84CE3" w:rsidRPr="00687A70">
        <w:rPr>
          <w:color w:val="auto"/>
          <w:sz w:val="27"/>
          <w:szCs w:val="27"/>
        </w:rPr>
        <w:t xml:space="preserve"> is committed to achieving Net Zero emissions by 20</w:t>
      </w:r>
      <w:r w:rsidRPr="00687A70">
        <w:rPr>
          <w:b/>
          <w:color w:val="auto"/>
          <w:sz w:val="27"/>
          <w:szCs w:val="27"/>
        </w:rPr>
        <w:t>50</w:t>
      </w:r>
      <w:r w:rsidR="00C84CE3" w:rsidRPr="00687A70">
        <w:rPr>
          <w:color w:val="auto"/>
          <w:sz w:val="27"/>
          <w:szCs w:val="27"/>
        </w:rPr>
        <w:t>.</w:t>
      </w:r>
    </w:p>
    <w:p w14:paraId="7EAA32A1" w14:textId="77777777" w:rsidR="00F54EC4" w:rsidRPr="00166DF2" w:rsidRDefault="00C84CE3">
      <w:pPr>
        <w:pStyle w:val="Heading1"/>
        <w:numPr>
          <w:ilvl w:val="0"/>
          <w:numId w:val="1"/>
        </w:numPr>
        <w:tabs>
          <w:tab w:val="left" w:pos="0"/>
        </w:tabs>
        <w:spacing w:before="360" w:after="0" w:line="268" w:lineRule="auto"/>
        <w:jc w:val="both"/>
        <w:rPr>
          <w:sz w:val="27"/>
          <w:szCs w:val="27"/>
        </w:rPr>
      </w:pPr>
      <w:bookmarkStart w:id="3" w:name="_3znysh7" w:colFirst="0" w:colLast="0"/>
      <w:bookmarkEnd w:id="3"/>
      <w:r w:rsidRPr="00166DF2">
        <w:rPr>
          <w:b/>
          <w:sz w:val="27"/>
          <w:szCs w:val="27"/>
        </w:rPr>
        <w:t>Baseline Emissions Footprint</w:t>
      </w:r>
    </w:p>
    <w:p w14:paraId="62654106" w14:textId="77777777" w:rsidR="00F54EC4" w:rsidRPr="00166DF2" w:rsidRDefault="00C84CE3">
      <w:pPr>
        <w:rPr>
          <w:sz w:val="27"/>
          <w:szCs w:val="27"/>
        </w:rPr>
      </w:pPr>
      <w:r w:rsidRPr="00166DF2">
        <w:rPr>
          <w:sz w:val="27"/>
          <w:szCs w:val="27"/>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2BA3B09D" w14:textId="77777777" w:rsidR="00687A70" w:rsidRDefault="00687A70">
      <w:pPr>
        <w:rPr>
          <w:i/>
          <w:sz w:val="27"/>
          <w:szCs w:val="27"/>
        </w:rPr>
      </w:pPr>
    </w:p>
    <w:p w14:paraId="7D1A42B0" w14:textId="78BAA6F3" w:rsidR="00F54EC4" w:rsidRPr="00166DF2" w:rsidRDefault="00C84CE3">
      <w:pPr>
        <w:rPr>
          <w:sz w:val="27"/>
          <w:szCs w:val="27"/>
        </w:rPr>
      </w:pPr>
      <w:r w:rsidRPr="00166DF2">
        <w:rPr>
          <w:sz w:val="27"/>
          <w:szCs w:val="27"/>
        </w:rPr>
        <w:t xml:space="preserve"> </w:t>
      </w:r>
    </w:p>
    <w:tbl>
      <w:tblPr>
        <w:tblStyle w:val="a"/>
        <w:tblW w:w="94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191"/>
        <w:gridCol w:w="5259"/>
      </w:tblGrid>
      <w:tr w:rsidR="00F54EC4" w:rsidRPr="00166DF2" w14:paraId="2C3F9A15"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tcPr>
          <w:p w14:paraId="737D62AE" w14:textId="1ED3DAFD" w:rsidR="00F54EC4" w:rsidRPr="00166DF2" w:rsidRDefault="00C84CE3">
            <w:pPr>
              <w:spacing w:after="120" w:line="268" w:lineRule="auto"/>
              <w:jc w:val="both"/>
              <w:rPr>
                <w:sz w:val="27"/>
                <w:szCs w:val="27"/>
              </w:rPr>
            </w:pPr>
            <w:r w:rsidRPr="00166DF2">
              <w:rPr>
                <w:b/>
                <w:sz w:val="27"/>
                <w:szCs w:val="27"/>
              </w:rPr>
              <w:t xml:space="preserve">Baseline Year: </w:t>
            </w:r>
            <w:r w:rsidRPr="00687A70">
              <w:rPr>
                <w:b/>
                <w:sz w:val="27"/>
                <w:szCs w:val="27"/>
              </w:rPr>
              <w:t>20</w:t>
            </w:r>
            <w:r w:rsidR="00EB0F73" w:rsidRPr="00687A70">
              <w:rPr>
                <w:b/>
                <w:sz w:val="27"/>
                <w:szCs w:val="27"/>
              </w:rPr>
              <w:t>24/25</w:t>
            </w:r>
          </w:p>
        </w:tc>
      </w:tr>
      <w:tr w:rsidR="00F54EC4" w:rsidRPr="00166DF2" w14:paraId="67FD1F2E" w14:textId="77777777">
        <w:trPr>
          <w:trHeight w:val="455"/>
        </w:trPr>
        <w:tc>
          <w:tcPr>
            <w:tcW w:w="9450" w:type="dxa"/>
            <w:gridSpan w:val="2"/>
            <w:tcBorders>
              <w:left w:val="single" w:sz="8" w:space="0" w:color="000000"/>
              <w:bottom w:val="single" w:sz="8" w:space="0" w:color="000000"/>
              <w:right w:val="single" w:sz="8" w:space="0" w:color="000000"/>
            </w:tcBorders>
          </w:tcPr>
          <w:p w14:paraId="1F06EE9F" w14:textId="77777777" w:rsidR="00F54EC4" w:rsidRPr="00166DF2" w:rsidRDefault="00C84CE3">
            <w:pPr>
              <w:spacing w:after="120" w:line="268" w:lineRule="auto"/>
              <w:jc w:val="both"/>
              <w:rPr>
                <w:sz w:val="27"/>
                <w:szCs w:val="27"/>
              </w:rPr>
            </w:pPr>
            <w:r w:rsidRPr="00166DF2">
              <w:rPr>
                <w:b/>
                <w:sz w:val="27"/>
                <w:szCs w:val="27"/>
              </w:rPr>
              <w:t>Additional Details relating to the Baseline Emissions calculations.</w:t>
            </w:r>
          </w:p>
        </w:tc>
      </w:tr>
      <w:tr w:rsidR="00F54EC4" w:rsidRPr="00166DF2" w14:paraId="6F46C1CB" w14:textId="77777777">
        <w:trPr>
          <w:trHeight w:val="455"/>
        </w:trPr>
        <w:tc>
          <w:tcPr>
            <w:tcW w:w="9450" w:type="dxa"/>
            <w:gridSpan w:val="2"/>
            <w:tcBorders>
              <w:left w:val="single" w:sz="8" w:space="0" w:color="000000"/>
              <w:bottom w:val="single" w:sz="8" w:space="0" w:color="000000"/>
              <w:right w:val="single" w:sz="8" w:space="0" w:color="000000"/>
            </w:tcBorders>
          </w:tcPr>
          <w:p w14:paraId="3B0A8E29" w14:textId="3D0E08F8" w:rsidR="00EB0F73" w:rsidRPr="00687A70" w:rsidRDefault="00EB0F73" w:rsidP="00EB0F73">
            <w:pPr>
              <w:spacing w:after="120" w:line="268" w:lineRule="auto"/>
              <w:jc w:val="both"/>
              <w:rPr>
                <w:i/>
                <w:sz w:val="27"/>
                <w:szCs w:val="27"/>
              </w:rPr>
            </w:pPr>
            <w:r w:rsidRPr="00687A70">
              <w:rPr>
                <w:i/>
                <w:sz w:val="27"/>
                <w:szCs w:val="27"/>
              </w:rPr>
              <w:t>Our baseline year has been established as 2024/25, which reflects the earliest period for which we have comprehensive and reliable emissions data across Scopes 1, 2 and relevant Scope 3 categories.</w:t>
            </w:r>
          </w:p>
          <w:p w14:paraId="1EFCA106" w14:textId="4BD93E3C" w:rsidR="00EB0F73" w:rsidRPr="00687A70" w:rsidRDefault="00EB0F73" w:rsidP="00EB0F73">
            <w:pPr>
              <w:spacing w:after="120" w:line="268" w:lineRule="auto"/>
              <w:jc w:val="both"/>
              <w:rPr>
                <w:i/>
                <w:sz w:val="27"/>
                <w:szCs w:val="27"/>
              </w:rPr>
            </w:pPr>
            <w:r w:rsidRPr="00687A70">
              <w:rPr>
                <w:i/>
                <w:sz w:val="27"/>
                <w:szCs w:val="27"/>
              </w:rPr>
              <w:t xml:space="preserve">Prior to this date, no formal carbon footprint reporting was undertaken and therefore historic data is incomplete and does not align with current reporting requirements. As a </w:t>
            </w:r>
            <w:proofErr w:type="gramStart"/>
            <w:r w:rsidRPr="00687A70">
              <w:rPr>
                <w:i/>
                <w:sz w:val="27"/>
                <w:szCs w:val="27"/>
              </w:rPr>
              <w:t>result</w:t>
            </w:r>
            <w:proofErr w:type="gramEnd"/>
            <w:r w:rsidRPr="00687A70">
              <w:rPr>
                <w:i/>
                <w:sz w:val="27"/>
                <w:szCs w:val="27"/>
              </w:rPr>
              <w:t xml:space="preserve"> we are treating this baseline as the first robust measure of our organisational emissions.</w:t>
            </w:r>
          </w:p>
          <w:p w14:paraId="0689CB3E" w14:textId="6DF06975" w:rsidR="00F54EC4" w:rsidRPr="00166DF2" w:rsidRDefault="00F54EC4">
            <w:pPr>
              <w:spacing w:after="120" w:line="268" w:lineRule="auto"/>
              <w:jc w:val="both"/>
              <w:rPr>
                <w:sz w:val="27"/>
                <w:szCs w:val="27"/>
              </w:rPr>
            </w:pPr>
          </w:p>
        </w:tc>
      </w:tr>
      <w:tr w:rsidR="00F54EC4" w:rsidRPr="00166DF2" w14:paraId="02826B08" w14:textId="77777777">
        <w:trPr>
          <w:trHeight w:val="455"/>
        </w:trPr>
        <w:tc>
          <w:tcPr>
            <w:tcW w:w="9450" w:type="dxa"/>
            <w:gridSpan w:val="2"/>
            <w:tcBorders>
              <w:left w:val="single" w:sz="8" w:space="0" w:color="000000"/>
              <w:bottom w:val="single" w:sz="8" w:space="0" w:color="000000"/>
              <w:right w:val="single" w:sz="8" w:space="0" w:color="000000"/>
            </w:tcBorders>
          </w:tcPr>
          <w:p w14:paraId="08857266" w14:textId="6F511F32" w:rsidR="00F54EC4" w:rsidRPr="00166DF2" w:rsidRDefault="00C84CE3">
            <w:pPr>
              <w:spacing w:after="120" w:line="268" w:lineRule="auto"/>
              <w:jc w:val="both"/>
              <w:rPr>
                <w:sz w:val="27"/>
                <w:szCs w:val="27"/>
              </w:rPr>
            </w:pPr>
            <w:r w:rsidRPr="00166DF2">
              <w:rPr>
                <w:b/>
                <w:sz w:val="27"/>
                <w:szCs w:val="27"/>
              </w:rPr>
              <w:lastRenderedPageBreak/>
              <w:t>Baseline year emissions:</w:t>
            </w:r>
            <w:r w:rsidR="002A43C6">
              <w:rPr>
                <w:b/>
                <w:sz w:val="27"/>
                <w:szCs w:val="27"/>
              </w:rPr>
              <w:t xml:space="preserve"> 2024/2025</w:t>
            </w:r>
          </w:p>
        </w:tc>
      </w:tr>
      <w:tr w:rsidR="00F54EC4" w:rsidRPr="00166DF2" w14:paraId="6ACE5F6C" w14:textId="77777777" w:rsidTr="00166DF2">
        <w:trPr>
          <w:trHeight w:val="740"/>
        </w:trPr>
        <w:tc>
          <w:tcPr>
            <w:tcW w:w="4191" w:type="dxa"/>
            <w:tcBorders>
              <w:left w:val="single" w:sz="8" w:space="0" w:color="000000"/>
              <w:bottom w:val="single" w:sz="8" w:space="0" w:color="000000"/>
              <w:right w:val="single" w:sz="8" w:space="0" w:color="000000"/>
            </w:tcBorders>
          </w:tcPr>
          <w:p w14:paraId="6050B951" w14:textId="77777777" w:rsidR="00F54EC4" w:rsidRPr="00166DF2" w:rsidRDefault="00C84CE3">
            <w:pPr>
              <w:spacing w:after="120" w:line="268" w:lineRule="auto"/>
              <w:jc w:val="both"/>
              <w:rPr>
                <w:sz w:val="27"/>
                <w:szCs w:val="27"/>
              </w:rPr>
            </w:pPr>
            <w:r w:rsidRPr="00166DF2">
              <w:rPr>
                <w:b/>
                <w:sz w:val="27"/>
                <w:szCs w:val="27"/>
              </w:rPr>
              <w:t>EMISSIONS</w:t>
            </w:r>
          </w:p>
        </w:tc>
        <w:tc>
          <w:tcPr>
            <w:tcW w:w="5259" w:type="dxa"/>
            <w:tcBorders>
              <w:bottom w:val="single" w:sz="8" w:space="0" w:color="000000"/>
              <w:right w:val="single" w:sz="18" w:space="0" w:color="000000"/>
            </w:tcBorders>
          </w:tcPr>
          <w:p w14:paraId="13E2471A" w14:textId="77777777" w:rsidR="00F54EC4" w:rsidRPr="00166DF2" w:rsidRDefault="00C84CE3">
            <w:pPr>
              <w:spacing w:after="120" w:line="268" w:lineRule="auto"/>
              <w:jc w:val="both"/>
              <w:rPr>
                <w:sz w:val="27"/>
                <w:szCs w:val="27"/>
              </w:rPr>
            </w:pPr>
            <w:r w:rsidRPr="00166DF2">
              <w:rPr>
                <w:b/>
                <w:sz w:val="27"/>
                <w:szCs w:val="27"/>
              </w:rPr>
              <w:t>TOTAL (tCO</w:t>
            </w:r>
            <w:r w:rsidRPr="00166DF2">
              <w:rPr>
                <w:b/>
                <w:sz w:val="27"/>
                <w:szCs w:val="27"/>
                <w:vertAlign w:val="subscript"/>
              </w:rPr>
              <w:t>2</w:t>
            </w:r>
            <w:r w:rsidRPr="00166DF2">
              <w:rPr>
                <w:b/>
                <w:sz w:val="27"/>
                <w:szCs w:val="27"/>
              </w:rPr>
              <w:t>e)</w:t>
            </w:r>
          </w:p>
        </w:tc>
      </w:tr>
      <w:tr w:rsidR="00F54EC4" w:rsidRPr="00166DF2" w14:paraId="4FEC82C9" w14:textId="77777777" w:rsidTr="00166DF2">
        <w:trPr>
          <w:trHeight w:val="455"/>
        </w:trPr>
        <w:tc>
          <w:tcPr>
            <w:tcW w:w="4191" w:type="dxa"/>
            <w:tcBorders>
              <w:left w:val="single" w:sz="8" w:space="0" w:color="000000"/>
              <w:bottom w:val="single" w:sz="8" w:space="0" w:color="000000"/>
              <w:right w:val="single" w:sz="8" w:space="0" w:color="000000"/>
            </w:tcBorders>
          </w:tcPr>
          <w:p w14:paraId="0A2FAE2B" w14:textId="77777777" w:rsidR="00F54EC4" w:rsidRPr="00166DF2" w:rsidRDefault="00C84CE3">
            <w:pPr>
              <w:spacing w:after="120" w:line="268" w:lineRule="auto"/>
              <w:jc w:val="both"/>
              <w:rPr>
                <w:sz w:val="27"/>
                <w:szCs w:val="27"/>
              </w:rPr>
            </w:pPr>
            <w:r w:rsidRPr="00166DF2">
              <w:rPr>
                <w:b/>
                <w:sz w:val="27"/>
                <w:szCs w:val="27"/>
              </w:rPr>
              <w:t>Scope 1</w:t>
            </w:r>
          </w:p>
        </w:tc>
        <w:tc>
          <w:tcPr>
            <w:tcW w:w="5259" w:type="dxa"/>
            <w:tcBorders>
              <w:bottom w:val="single" w:sz="8" w:space="0" w:color="000000"/>
              <w:right w:val="single" w:sz="18" w:space="0" w:color="000000"/>
            </w:tcBorders>
          </w:tcPr>
          <w:p w14:paraId="62396BE1" w14:textId="543D0D89" w:rsidR="00F54EC4" w:rsidRPr="00166DF2" w:rsidRDefault="002A43C6">
            <w:pPr>
              <w:spacing w:after="120" w:line="268" w:lineRule="auto"/>
              <w:jc w:val="both"/>
              <w:rPr>
                <w:sz w:val="27"/>
                <w:szCs w:val="27"/>
              </w:rPr>
            </w:pPr>
            <w:r>
              <w:rPr>
                <w:b/>
                <w:color w:val="FF0000"/>
                <w:sz w:val="27"/>
                <w:szCs w:val="27"/>
              </w:rPr>
              <w:t>18.88</w:t>
            </w:r>
          </w:p>
        </w:tc>
      </w:tr>
      <w:tr w:rsidR="00F54EC4" w:rsidRPr="00166DF2" w14:paraId="792B2FC3" w14:textId="77777777" w:rsidTr="00166DF2">
        <w:trPr>
          <w:trHeight w:val="455"/>
        </w:trPr>
        <w:tc>
          <w:tcPr>
            <w:tcW w:w="4191" w:type="dxa"/>
            <w:tcBorders>
              <w:left w:val="single" w:sz="8" w:space="0" w:color="000000"/>
              <w:bottom w:val="single" w:sz="8" w:space="0" w:color="000000"/>
              <w:right w:val="single" w:sz="8" w:space="0" w:color="000000"/>
            </w:tcBorders>
          </w:tcPr>
          <w:p w14:paraId="3F623003" w14:textId="77777777" w:rsidR="00F54EC4" w:rsidRPr="00166DF2" w:rsidRDefault="00C84CE3">
            <w:pPr>
              <w:spacing w:after="120" w:line="268" w:lineRule="auto"/>
              <w:jc w:val="both"/>
              <w:rPr>
                <w:sz w:val="27"/>
                <w:szCs w:val="27"/>
              </w:rPr>
            </w:pPr>
            <w:r w:rsidRPr="00166DF2">
              <w:rPr>
                <w:b/>
                <w:sz w:val="27"/>
                <w:szCs w:val="27"/>
              </w:rPr>
              <w:t>Scope 2</w:t>
            </w:r>
          </w:p>
        </w:tc>
        <w:tc>
          <w:tcPr>
            <w:tcW w:w="5259" w:type="dxa"/>
            <w:tcBorders>
              <w:bottom w:val="single" w:sz="8" w:space="0" w:color="000000"/>
              <w:right w:val="single" w:sz="18" w:space="0" w:color="000000"/>
            </w:tcBorders>
          </w:tcPr>
          <w:p w14:paraId="34D8B882" w14:textId="55B6BE59" w:rsidR="00F54EC4" w:rsidRPr="00166DF2" w:rsidRDefault="002A43C6">
            <w:pPr>
              <w:spacing w:after="120" w:line="268" w:lineRule="auto"/>
              <w:jc w:val="both"/>
              <w:rPr>
                <w:sz w:val="27"/>
                <w:szCs w:val="27"/>
              </w:rPr>
            </w:pPr>
            <w:r>
              <w:rPr>
                <w:b/>
                <w:color w:val="FF0000"/>
                <w:sz w:val="27"/>
                <w:szCs w:val="27"/>
              </w:rPr>
              <w:t>4.38</w:t>
            </w:r>
          </w:p>
        </w:tc>
      </w:tr>
      <w:tr w:rsidR="00F54EC4" w:rsidRPr="00166DF2" w14:paraId="56FE6BF9" w14:textId="77777777" w:rsidTr="00166DF2">
        <w:trPr>
          <w:trHeight w:val="585"/>
        </w:trPr>
        <w:tc>
          <w:tcPr>
            <w:tcW w:w="4191" w:type="dxa"/>
            <w:tcBorders>
              <w:left w:val="single" w:sz="8" w:space="0" w:color="000000"/>
              <w:bottom w:val="single" w:sz="18" w:space="0" w:color="000000"/>
              <w:right w:val="single" w:sz="8" w:space="0" w:color="000000"/>
            </w:tcBorders>
          </w:tcPr>
          <w:p w14:paraId="08D43232" w14:textId="77777777" w:rsidR="00F54EC4" w:rsidRPr="00166DF2" w:rsidRDefault="00C84CE3" w:rsidP="00166DF2">
            <w:pPr>
              <w:spacing w:after="120" w:line="268" w:lineRule="auto"/>
              <w:jc w:val="both"/>
              <w:rPr>
                <w:sz w:val="27"/>
                <w:szCs w:val="27"/>
              </w:rPr>
            </w:pPr>
            <w:r w:rsidRPr="00166DF2">
              <w:rPr>
                <w:b/>
                <w:sz w:val="27"/>
                <w:szCs w:val="27"/>
              </w:rPr>
              <w:t>Scope 3</w:t>
            </w:r>
            <w:r w:rsidR="00166DF2">
              <w:rPr>
                <w:b/>
                <w:sz w:val="27"/>
                <w:szCs w:val="27"/>
              </w:rPr>
              <w:t xml:space="preserve"> </w:t>
            </w:r>
            <w:r w:rsidRPr="00166DF2">
              <w:rPr>
                <w:b/>
                <w:sz w:val="27"/>
                <w:szCs w:val="27"/>
              </w:rPr>
              <w:t>(Included Sources)</w:t>
            </w:r>
          </w:p>
        </w:tc>
        <w:tc>
          <w:tcPr>
            <w:tcW w:w="5259" w:type="dxa"/>
            <w:tcBorders>
              <w:bottom w:val="single" w:sz="18" w:space="0" w:color="000000"/>
              <w:right w:val="single" w:sz="18" w:space="0" w:color="000000"/>
            </w:tcBorders>
          </w:tcPr>
          <w:p w14:paraId="4F96606F" w14:textId="0E58209D" w:rsidR="00F54EC4" w:rsidRPr="002A43C6" w:rsidRDefault="002A43C6">
            <w:pPr>
              <w:spacing w:after="120" w:line="268" w:lineRule="auto"/>
              <w:jc w:val="both"/>
              <w:rPr>
                <w:b/>
                <w:bCs/>
                <w:sz w:val="27"/>
                <w:szCs w:val="27"/>
              </w:rPr>
            </w:pPr>
            <w:r w:rsidRPr="002A43C6">
              <w:rPr>
                <w:b/>
                <w:bCs/>
                <w:color w:val="EE0000"/>
                <w:sz w:val="27"/>
                <w:szCs w:val="27"/>
              </w:rPr>
              <w:t>15.66</w:t>
            </w:r>
          </w:p>
        </w:tc>
      </w:tr>
      <w:tr w:rsidR="00F54EC4" w:rsidRPr="00166DF2" w14:paraId="67A9F334" w14:textId="77777777" w:rsidTr="00166DF2">
        <w:trPr>
          <w:trHeight w:val="585"/>
        </w:trPr>
        <w:tc>
          <w:tcPr>
            <w:tcW w:w="4191" w:type="dxa"/>
            <w:tcBorders>
              <w:top w:val="single" w:sz="18" w:space="0" w:color="000000"/>
              <w:left w:val="single" w:sz="8" w:space="0" w:color="000000"/>
              <w:bottom w:val="single" w:sz="8" w:space="0" w:color="000000"/>
              <w:right w:val="single" w:sz="8" w:space="0" w:color="000000"/>
            </w:tcBorders>
          </w:tcPr>
          <w:p w14:paraId="79810DA4" w14:textId="77777777" w:rsidR="00F54EC4" w:rsidRPr="00166DF2" w:rsidRDefault="00C84CE3">
            <w:pPr>
              <w:spacing w:after="120" w:line="268" w:lineRule="auto"/>
              <w:jc w:val="both"/>
              <w:rPr>
                <w:sz w:val="27"/>
                <w:szCs w:val="27"/>
              </w:rPr>
            </w:pPr>
            <w:r w:rsidRPr="00166DF2">
              <w:rPr>
                <w:b/>
                <w:sz w:val="27"/>
                <w:szCs w:val="27"/>
              </w:rPr>
              <w:t>Total Emissions</w:t>
            </w:r>
          </w:p>
        </w:tc>
        <w:tc>
          <w:tcPr>
            <w:tcW w:w="5259" w:type="dxa"/>
            <w:tcBorders>
              <w:top w:val="single" w:sz="18" w:space="0" w:color="000000"/>
              <w:bottom w:val="single" w:sz="8" w:space="0" w:color="000000"/>
              <w:right w:val="single" w:sz="18" w:space="0" w:color="000000"/>
            </w:tcBorders>
          </w:tcPr>
          <w:p w14:paraId="66F532C7" w14:textId="4811CC24" w:rsidR="00F54EC4" w:rsidRPr="002A43C6" w:rsidRDefault="002A43C6">
            <w:pPr>
              <w:spacing w:after="120" w:line="268" w:lineRule="auto"/>
              <w:jc w:val="both"/>
              <w:rPr>
                <w:b/>
                <w:bCs/>
                <w:sz w:val="27"/>
                <w:szCs w:val="27"/>
              </w:rPr>
            </w:pPr>
            <w:r w:rsidRPr="002A43C6">
              <w:rPr>
                <w:b/>
                <w:bCs/>
                <w:color w:val="EE0000"/>
                <w:sz w:val="27"/>
                <w:szCs w:val="27"/>
              </w:rPr>
              <w:t>38.92</w:t>
            </w:r>
          </w:p>
        </w:tc>
      </w:tr>
    </w:tbl>
    <w:p w14:paraId="7DE3F5D7" w14:textId="77777777" w:rsidR="00F54EC4" w:rsidRPr="00166DF2" w:rsidRDefault="00F54EC4">
      <w:pPr>
        <w:rPr>
          <w:b/>
          <w:sz w:val="27"/>
          <w:szCs w:val="27"/>
        </w:rPr>
      </w:pPr>
    </w:p>
    <w:p w14:paraId="2D5B4526" w14:textId="77777777" w:rsidR="00F54EC4" w:rsidRPr="00166DF2" w:rsidRDefault="00C84CE3">
      <w:pPr>
        <w:rPr>
          <w:sz w:val="27"/>
          <w:szCs w:val="27"/>
        </w:rPr>
      </w:pPr>
      <w:r w:rsidRPr="00166DF2">
        <w:rPr>
          <w:b/>
          <w:sz w:val="27"/>
          <w:szCs w:val="27"/>
        </w:rPr>
        <w:t>Current Emissions Reporting</w:t>
      </w:r>
    </w:p>
    <w:tbl>
      <w:tblPr>
        <w:tblStyle w:val="a0"/>
        <w:tblW w:w="9465" w:type="dxa"/>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95"/>
        <w:gridCol w:w="5270"/>
      </w:tblGrid>
      <w:tr w:rsidR="00F54EC4" w:rsidRPr="00166DF2" w14:paraId="282D1980"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tcPr>
          <w:p w14:paraId="21788904" w14:textId="16C2172A" w:rsidR="00F54EC4" w:rsidRPr="00166DF2" w:rsidRDefault="00C84CE3">
            <w:pPr>
              <w:spacing w:after="120" w:line="268" w:lineRule="auto"/>
              <w:jc w:val="both"/>
              <w:rPr>
                <w:sz w:val="27"/>
                <w:szCs w:val="27"/>
              </w:rPr>
            </w:pPr>
            <w:r w:rsidRPr="00166DF2">
              <w:rPr>
                <w:b/>
                <w:sz w:val="27"/>
                <w:szCs w:val="27"/>
              </w:rPr>
              <w:t>Reporting Year:</w:t>
            </w:r>
            <w:r w:rsidR="001643AE">
              <w:rPr>
                <w:b/>
                <w:sz w:val="27"/>
                <w:szCs w:val="27"/>
              </w:rPr>
              <w:t xml:space="preserve"> April 1st</w:t>
            </w:r>
            <w:r w:rsidRPr="00166DF2">
              <w:rPr>
                <w:b/>
                <w:sz w:val="27"/>
                <w:szCs w:val="27"/>
              </w:rPr>
              <w:t xml:space="preserve"> </w:t>
            </w:r>
            <w:r w:rsidRPr="00687A70">
              <w:rPr>
                <w:b/>
                <w:sz w:val="27"/>
                <w:szCs w:val="27"/>
              </w:rPr>
              <w:t>20</w:t>
            </w:r>
            <w:r w:rsidR="002A43C6" w:rsidRPr="00687A70">
              <w:rPr>
                <w:b/>
                <w:sz w:val="27"/>
                <w:szCs w:val="27"/>
              </w:rPr>
              <w:t>25/</w:t>
            </w:r>
            <w:r w:rsidR="001643AE">
              <w:rPr>
                <w:b/>
                <w:sz w:val="27"/>
                <w:szCs w:val="27"/>
              </w:rPr>
              <w:t xml:space="preserve"> 31</w:t>
            </w:r>
            <w:r w:rsidR="001643AE" w:rsidRPr="001643AE">
              <w:rPr>
                <w:b/>
                <w:sz w:val="27"/>
                <w:szCs w:val="27"/>
                <w:vertAlign w:val="superscript"/>
              </w:rPr>
              <w:t>st</w:t>
            </w:r>
            <w:r w:rsidR="001643AE">
              <w:rPr>
                <w:b/>
                <w:sz w:val="27"/>
                <w:szCs w:val="27"/>
              </w:rPr>
              <w:t xml:space="preserve"> March 2026</w:t>
            </w:r>
          </w:p>
        </w:tc>
      </w:tr>
      <w:tr w:rsidR="00F54EC4" w:rsidRPr="00166DF2" w14:paraId="115629BB" w14:textId="77777777" w:rsidTr="00166DF2">
        <w:trPr>
          <w:trHeight w:val="740"/>
        </w:trPr>
        <w:tc>
          <w:tcPr>
            <w:tcW w:w="4195" w:type="dxa"/>
            <w:tcBorders>
              <w:top w:val="single" w:sz="6" w:space="0" w:color="000000"/>
              <w:left w:val="single" w:sz="6" w:space="0" w:color="000000"/>
              <w:bottom w:val="single" w:sz="6" w:space="0" w:color="000000"/>
              <w:right w:val="single" w:sz="6" w:space="0" w:color="000000"/>
            </w:tcBorders>
          </w:tcPr>
          <w:p w14:paraId="6537FC12" w14:textId="77777777" w:rsidR="00F54EC4" w:rsidRPr="00166DF2" w:rsidRDefault="00C84CE3">
            <w:pPr>
              <w:spacing w:after="120" w:line="268" w:lineRule="auto"/>
              <w:jc w:val="both"/>
              <w:rPr>
                <w:sz w:val="27"/>
                <w:szCs w:val="27"/>
              </w:rPr>
            </w:pPr>
            <w:r w:rsidRPr="00166DF2">
              <w:rPr>
                <w:b/>
                <w:sz w:val="27"/>
                <w:szCs w:val="27"/>
              </w:rPr>
              <w:t>EMISSIONS</w:t>
            </w:r>
          </w:p>
        </w:tc>
        <w:tc>
          <w:tcPr>
            <w:tcW w:w="5270" w:type="dxa"/>
            <w:tcBorders>
              <w:top w:val="single" w:sz="6" w:space="0" w:color="000000"/>
              <w:left w:val="single" w:sz="6" w:space="0" w:color="000000"/>
              <w:bottom w:val="single" w:sz="6" w:space="0" w:color="000000"/>
              <w:right w:val="single" w:sz="6" w:space="0" w:color="000000"/>
            </w:tcBorders>
          </w:tcPr>
          <w:p w14:paraId="2FCE1DB3" w14:textId="77777777" w:rsidR="00F54EC4" w:rsidRPr="00166DF2" w:rsidRDefault="00C84CE3">
            <w:pPr>
              <w:spacing w:after="120" w:line="268" w:lineRule="auto"/>
              <w:jc w:val="both"/>
              <w:rPr>
                <w:sz w:val="27"/>
                <w:szCs w:val="27"/>
              </w:rPr>
            </w:pPr>
            <w:r w:rsidRPr="00166DF2">
              <w:rPr>
                <w:b/>
                <w:sz w:val="27"/>
                <w:szCs w:val="27"/>
              </w:rPr>
              <w:t>TOTAL (tCO</w:t>
            </w:r>
            <w:r w:rsidRPr="00166DF2">
              <w:rPr>
                <w:b/>
                <w:sz w:val="27"/>
                <w:szCs w:val="27"/>
                <w:vertAlign w:val="subscript"/>
              </w:rPr>
              <w:t>2</w:t>
            </w:r>
            <w:r w:rsidRPr="00166DF2">
              <w:rPr>
                <w:b/>
                <w:sz w:val="27"/>
                <w:szCs w:val="27"/>
              </w:rPr>
              <w:t>e)</w:t>
            </w:r>
          </w:p>
        </w:tc>
      </w:tr>
      <w:tr w:rsidR="00F54EC4" w:rsidRPr="00166DF2" w14:paraId="3EA0F817" w14:textId="77777777" w:rsidTr="00166DF2">
        <w:trPr>
          <w:trHeight w:val="455"/>
        </w:trPr>
        <w:tc>
          <w:tcPr>
            <w:tcW w:w="4195" w:type="dxa"/>
            <w:tcBorders>
              <w:top w:val="single" w:sz="6" w:space="0" w:color="000000"/>
              <w:left w:val="single" w:sz="6" w:space="0" w:color="000000"/>
              <w:bottom w:val="single" w:sz="6" w:space="0" w:color="000000"/>
              <w:right w:val="single" w:sz="6" w:space="0" w:color="000000"/>
            </w:tcBorders>
          </w:tcPr>
          <w:p w14:paraId="318BAC46" w14:textId="77777777" w:rsidR="00F54EC4" w:rsidRPr="00166DF2" w:rsidRDefault="00C84CE3">
            <w:pPr>
              <w:spacing w:after="120" w:line="268" w:lineRule="auto"/>
              <w:jc w:val="both"/>
              <w:rPr>
                <w:sz w:val="27"/>
                <w:szCs w:val="27"/>
              </w:rPr>
            </w:pPr>
            <w:r w:rsidRPr="00166DF2">
              <w:rPr>
                <w:b/>
                <w:sz w:val="27"/>
                <w:szCs w:val="27"/>
              </w:rPr>
              <w:t>Scope 1</w:t>
            </w:r>
          </w:p>
        </w:tc>
        <w:tc>
          <w:tcPr>
            <w:tcW w:w="5270" w:type="dxa"/>
            <w:tcBorders>
              <w:top w:val="single" w:sz="6" w:space="0" w:color="000000"/>
              <w:left w:val="single" w:sz="6" w:space="0" w:color="000000"/>
              <w:bottom w:val="single" w:sz="6" w:space="0" w:color="000000"/>
              <w:right w:val="single" w:sz="6" w:space="0" w:color="000000"/>
            </w:tcBorders>
          </w:tcPr>
          <w:p w14:paraId="565CBBE4" w14:textId="61D2755B" w:rsidR="00F54EC4" w:rsidRPr="00166DF2" w:rsidRDefault="00D06DDC">
            <w:pPr>
              <w:spacing w:after="120" w:line="268" w:lineRule="auto"/>
              <w:jc w:val="both"/>
              <w:rPr>
                <w:sz w:val="27"/>
                <w:szCs w:val="27"/>
              </w:rPr>
            </w:pPr>
            <w:r>
              <w:rPr>
                <w:b/>
                <w:color w:val="FF0000"/>
                <w:sz w:val="27"/>
                <w:szCs w:val="27"/>
              </w:rPr>
              <w:t>1</w:t>
            </w:r>
            <w:r w:rsidR="00530A46">
              <w:rPr>
                <w:b/>
                <w:color w:val="FF0000"/>
                <w:sz w:val="27"/>
                <w:szCs w:val="27"/>
              </w:rPr>
              <w:t>7</w:t>
            </w:r>
            <w:r>
              <w:rPr>
                <w:b/>
                <w:color w:val="FF0000"/>
                <w:sz w:val="27"/>
                <w:szCs w:val="27"/>
              </w:rPr>
              <w:t>.39</w:t>
            </w:r>
          </w:p>
        </w:tc>
      </w:tr>
      <w:tr w:rsidR="00F54EC4" w:rsidRPr="00166DF2" w14:paraId="6A3711E7" w14:textId="77777777" w:rsidTr="00166DF2">
        <w:trPr>
          <w:trHeight w:val="455"/>
        </w:trPr>
        <w:tc>
          <w:tcPr>
            <w:tcW w:w="4195" w:type="dxa"/>
            <w:tcBorders>
              <w:top w:val="single" w:sz="6" w:space="0" w:color="000000"/>
              <w:left w:val="single" w:sz="6" w:space="0" w:color="000000"/>
              <w:bottom w:val="single" w:sz="6" w:space="0" w:color="000000"/>
              <w:right w:val="single" w:sz="6" w:space="0" w:color="000000"/>
            </w:tcBorders>
          </w:tcPr>
          <w:p w14:paraId="405A512A" w14:textId="77777777" w:rsidR="00F54EC4" w:rsidRPr="00166DF2" w:rsidRDefault="00C84CE3">
            <w:pPr>
              <w:spacing w:after="120" w:line="268" w:lineRule="auto"/>
              <w:jc w:val="both"/>
              <w:rPr>
                <w:sz w:val="27"/>
                <w:szCs w:val="27"/>
              </w:rPr>
            </w:pPr>
            <w:r w:rsidRPr="00166DF2">
              <w:rPr>
                <w:b/>
                <w:sz w:val="27"/>
                <w:szCs w:val="27"/>
              </w:rPr>
              <w:t>Scope 2</w:t>
            </w:r>
          </w:p>
        </w:tc>
        <w:tc>
          <w:tcPr>
            <w:tcW w:w="5270" w:type="dxa"/>
            <w:tcBorders>
              <w:top w:val="single" w:sz="6" w:space="0" w:color="000000"/>
              <w:left w:val="single" w:sz="6" w:space="0" w:color="000000"/>
              <w:bottom w:val="single" w:sz="6" w:space="0" w:color="000000"/>
              <w:right w:val="single" w:sz="6" w:space="0" w:color="000000"/>
            </w:tcBorders>
          </w:tcPr>
          <w:p w14:paraId="63E884AF" w14:textId="6C3D7008" w:rsidR="00F54EC4" w:rsidRPr="00166DF2" w:rsidRDefault="00D06DDC">
            <w:pPr>
              <w:spacing w:after="120" w:line="268" w:lineRule="auto"/>
              <w:jc w:val="both"/>
              <w:rPr>
                <w:sz w:val="27"/>
                <w:szCs w:val="27"/>
              </w:rPr>
            </w:pPr>
            <w:r>
              <w:rPr>
                <w:b/>
                <w:color w:val="FF0000"/>
                <w:sz w:val="27"/>
                <w:szCs w:val="27"/>
              </w:rPr>
              <w:t>3.38</w:t>
            </w:r>
          </w:p>
        </w:tc>
      </w:tr>
      <w:tr w:rsidR="00F54EC4" w:rsidRPr="00166DF2" w14:paraId="49250D0F" w14:textId="77777777" w:rsidTr="00166DF2">
        <w:trPr>
          <w:trHeight w:val="585"/>
        </w:trPr>
        <w:tc>
          <w:tcPr>
            <w:tcW w:w="4195" w:type="dxa"/>
            <w:tcBorders>
              <w:top w:val="single" w:sz="6" w:space="0" w:color="000000"/>
              <w:left w:val="single" w:sz="6" w:space="0" w:color="000000"/>
              <w:bottom w:val="single" w:sz="6" w:space="0" w:color="000000"/>
              <w:right w:val="single" w:sz="6" w:space="0" w:color="000000"/>
            </w:tcBorders>
          </w:tcPr>
          <w:p w14:paraId="5DB6AD13" w14:textId="77777777" w:rsidR="00F54EC4" w:rsidRPr="00166DF2" w:rsidRDefault="00C84CE3" w:rsidP="00166DF2">
            <w:pPr>
              <w:spacing w:after="120" w:line="268" w:lineRule="auto"/>
              <w:jc w:val="both"/>
              <w:rPr>
                <w:sz w:val="27"/>
                <w:szCs w:val="27"/>
              </w:rPr>
            </w:pPr>
            <w:r w:rsidRPr="00166DF2">
              <w:rPr>
                <w:b/>
                <w:sz w:val="27"/>
                <w:szCs w:val="27"/>
              </w:rPr>
              <w:t>Scope 3</w:t>
            </w:r>
            <w:r w:rsidR="00166DF2">
              <w:rPr>
                <w:b/>
                <w:sz w:val="27"/>
                <w:szCs w:val="27"/>
              </w:rPr>
              <w:t xml:space="preserve"> </w:t>
            </w:r>
            <w:r w:rsidRPr="00166DF2">
              <w:rPr>
                <w:b/>
                <w:sz w:val="27"/>
                <w:szCs w:val="27"/>
              </w:rPr>
              <w:t>(Included Sources)</w:t>
            </w:r>
          </w:p>
        </w:tc>
        <w:tc>
          <w:tcPr>
            <w:tcW w:w="5270" w:type="dxa"/>
            <w:tcBorders>
              <w:top w:val="single" w:sz="6" w:space="0" w:color="000000"/>
              <w:left w:val="single" w:sz="6" w:space="0" w:color="000000"/>
              <w:bottom w:val="single" w:sz="6" w:space="0" w:color="000000"/>
              <w:right w:val="single" w:sz="6" w:space="0" w:color="000000"/>
            </w:tcBorders>
          </w:tcPr>
          <w:p w14:paraId="441A89CB" w14:textId="11B4E416" w:rsidR="00F54EC4" w:rsidRPr="00166DF2" w:rsidRDefault="00D06DDC">
            <w:pPr>
              <w:spacing w:after="120" w:line="268" w:lineRule="auto"/>
              <w:jc w:val="both"/>
              <w:rPr>
                <w:sz w:val="27"/>
                <w:szCs w:val="27"/>
              </w:rPr>
            </w:pPr>
            <w:r>
              <w:rPr>
                <w:b/>
                <w:color w:val="FF0000"/>
                <w:sz w:val="27"/>
                <w:szCs w:val="27"/>
              </w:rPr>
              <w:t>1</w:t>
            </w:r>
            <w:r w:rsidR="00530A46">
              <w:rPr>
                <w:b/>
                <w:color w:val="FF0000"/>
                <w:sz w:val="27"/>
                <w:szCs w:val="27"/>
              </w:rPr>
              <w:t>4</w:t>
            </w:r>
            <w:r>
              <w:rPr>
                <w:b/>
                <w:color w:val="FF0000"/>
                <w:sz w:val="27"/>
                <w:szCs w:val="27"/>
              </w:rPr>
              <w:t>.77</w:t>
            </w:r>
          </w:p>
        </w:tc>
      </w:tr>
      <w:tr w:rsidR="00F54EC4" w:rsidRPr="00166DF2" w14:paraId="62A3F738" w14:textId="77777777" w:rsidTr="00166DF2">
        <w:trPr>
          <w:trHeight w:val="585"/>
        </w:trPr>
        <w:tc>
          <w:tcPr>
            <w:tcW w:w="4195" w:type="dxa"/>
            <w:tcBorders>
              <w:top w:val="single" w:sz="6" w:space="0" w:color="000000"/>
              <w:left w:val="single" w:sz="6" w:space="0" w:color="000000"/>
              <w:bottom w:val="single" w:sz="6" w:space="0" w:color="000000"/>
              <w:right w:val="single" w:sz="6" w:space="0" w:color="000000"/>
            </w:tcBorders>
          </w:tcPr>
          <w:p w14:paraId="2D72C9E6" w14:textId="77777777" w:rsidR="00F54EC4" w:rsidRPr="00166DF2" w:rsidRDefault="00C84CE3">
            <w:pPr>
              <w:spacing w:after="120" w:line="268" w:lineRule="auto"/>
              <w:jc w:val="both"/>
              <w:rPr>
                <w:sz w:val="27"/>
                <w:szCs w:val="27"/>
              </w:rPr>
            </w:pPr>
            <w:r w:rsidRPr="00166DF2">
              <w:rPr>
                <w:b/>
                <w:sz w:val="27"/>
                <w:szCs w:val="27"/>
              </w:rPr>
              <w:t>Total Emissions</w:t>
            </w:r>
          </w:p>
        </w:tc>
        <w:tc>
          <w:tcPr>
            <w:tcW w:w="5270" w:type="dxa"/>
            <w:tcBorders>
              <w:top w:val="single" w:sz="6" w:space="0" w:color="000000"/>
              <w:left w:val="single" w:sz="6" w:space="0" w:color="000000"/>
              <w:bottom w:val="single" w:sz="6" w:space="0" w:color="000000"/>
              <w:right w:val="single" w:sz="6" w:space="0" w:color="000000"/>
            </w:tcBorders>
          </w:tcPr>
          <w:p w14:paraId="27B8410A" w14:textId="05BA51BE" w:rsidR="00F54EC4" w:rsidRPr="00166DF2" w:rsidRDefault="00530A46">
            <w:pPr>
              <w:spacing w:after="120" w:line="268" w:lineRule="auto"/>
              <w:jc w:val="both"/>
              <w:rPr>
                <w:sz w:val="27"/>
                <w:szCs w:val="27"/>
              </w:rPr>
            </w:pPr>
            <w:r>
              <w:rPr>
                <w:b/>
                <w:color w:val="FF0000"/>
                <w:sz w:val="27"/>
                <w:szCs w:val="27"/>
              </w:rPr>
              <w:t>35.54</w:t>
            </w:r>
          </w:p>
        </w:tc>
      </w:tr>
    </w:tbl>
    <w:p w14:paraId="378725DC" w14:textId="77777777" w:rsidR="001643AE" w:rsidRDefault="001643AE" w:rsidP="001643AE">
      <w:pPr>
        <w:pStyle w:val="Heading1"/>
        <w:keepNext w:val="0"/>
        <w:keepLines w:val="0"/>
        <w:tabs>
          <w:tab w:val="left" w:pos="0"/>
        </w:tabs>
        <w:spacing w:before="0" w:after="0" w:line="268" w:lineRule="auto"/>
        <w:jc w:val="both"/>
        <w:rPr>
          <w:sz w:val="22"/>
          <w:szCs w:val="22"/>
        </w:rPr>
      </w:pPr>
    </w:p>
    <w:p w14:paraId="47501056" w14:textId="7DEAE604" w:rsidR="00166DF2" w:rsidRPr="001643AE" w:rsidRDefault="001643AE" w:rsidP="001643AE">
      <w:pPr>
        <w:pStyle w:val="Heading1"/>
        <w:keepNext w:val="0"/>
        <w:keepLines w:val="0"/>
        <w:tabs>
          <w:tab w:val="left" w:pos="0"/>
        </w:tabs>
        <w:spacing w:before="0" w:after="0" w:line="268" w:lineRule="auto"/>
        <w:jc w:val="both"/>
        <w:rPr>
          <w:sz w:val="22"/>
          <w:szCs w:val="22"/>
        </w:rPr>
      </w:pPr>
      <w:r w:rsidRPr="001643AE">
        <w:rPr>
          <w:sz w:val="22"/>
          <w:szCs w:val="22"/>
        </w:rPr>
        <w:t>Notes:</w:t>
      </w:r>
      <w:r w:rsidRPr="001643AE">
        <w:rPr>
          <w:sz w:val="22"/>
          <w:szCs w:val="22"/>
        </w:rPr>
        <w:br/>
        <w:t>This reporting period represents the first formal year of carbon emissions measurement undertaken in accordance with the Carbon Reduction Plan Technical Standard and the GHG Protocol. It reflects the earliest period for which complete and reliable emissions data was available.</w:t>
      </w:r>
    </w:p>
    <w:p w14:paraId="5E085B70" w14:textId="77777777" w:rsidR="00D06DDC" w:rsidRPr="00D06DDC" w:rsidRDefault="00D06DDC">
      <w:pPr>
        <w:pStyle w:val="Heading1"/>
        <w:keepNext w:val="0"/>
        <w:keepLines w:val="0"/>
        <w:numPr>
          <w:ilvl w:val="0"/>
          <w:numId w:val="1"/>
        </w:numPr>
        <w:tabs>
          <w:tab w:val="left" w:pos="0"/>
        </w:tabs>
        <w:spacing w:before="0" w:after="0" w:line="268" w:lineRule="auto"/>
        <w:jc w:val="both"/>
        <w:rPr>
          <w:sz w:val="27"/>
          <w:szCs w:val="27"/>
        </w:rPr>
      </w:pPr>
    </w:p>
    <w:p w14:paraId="3F1140D4" w14:textId="77777777" w:rsidR="00D06DDC" w:rsidRPr="00D06DDC" w:rsidRDefault="00D06DDC">
      <w:pPr>
        <w:pStyle w:val="Heading1"/>
        <w:keepNext w:val="0"/>
        <w:keepLines w:val="0"/>
        <w:numPr>
          <w:ilvl w:val="0"/>
          <w:numId w:val="1"/>
        </w:numPr>
        <w:tabs>
          <w:tab w:val="left" w:pos="0"/>
        </w:tabs>
        <w:spacing w:before="0" w:after="0" w:line="268" w:lineRule="auto"/>
        <w:jc w:val="both"/>
        <w:rPr>
          <w:sz w:val="27"/>
          <w:szCs w:val="27"/>
        </w:rPr>
      </w:pPr>
    </w:p>
    <w:p w14:paraId="1A09FB8D" w14:textId="77777777" w:rsidR="00D06DDC" w:rsidRPr="00D06DDC" w:rsidRDefault="00D06DDC">
      <w:pPr>
        <w:pStyle w:val="Heading1"/>
        <w:keepNext w:val="0"/>
        <w:keepLines w:val="0"/>
        <w:numPr>
          <w:ilvl w:val="0"/>
          <w:numId w:val="1"/>
        </w:numPr>
        <w:tabs>
          <w:tab w:val="left" w:pos="0"/>
        </w:tabs>
        <w:spacing w:before="0" w:after="0" w:line="268" w:lineRule="auto"/>
        <w:jc w:val="both"/>
        <w:rPr>
          <w:sz w:val="27"/>
          <w:szCs w:val="27"/>
        </w:rPr>
      </w:pPr>
    </w:p>
    <w:p w14:paraId="13C65C68" w14:textId="77777777" w:rsidR="00D06DDC" w:rsidRPr="00D06DDC" w:rsidRDefault="00D06DDC">
      <w:pPr>
        <w:pStyle w:val="Heading1"/>
        <w:keepNext w:val="0"/>
        <w:keepLines w:val="0"/>
        <w:numPr>
          <w:ilvl w:val="0"/>
          <w:numId w:val="1"/>
        </w:numPr>
        <w:tabs>
          <w:tab w:val="left" w:pos="0"/>
        </w:tabs>
        <w:spacing w:before="0" w:after="0" w:line="268" w:lineRule="auto"/>
        <w:jc w:val="both"/>
        <w:rPr>
          <w:sz w:val="27"/>
          <w:szCs w:val="27"/>
        </w:rPr>
      </w:pPr>
    </w:p>
    <w:p w14:paraId="43D1F72A" w14:textId="77777777" w:rsidR="00D06DDC" w:rsidRPr="00D06DDC" w:rsidRDefault="00D06DDC">
      <w:pPr>
        <w:pStyle w:val="Heading1"/>
        <w:keepNext w:val="0"/>
        <w:keepLines w:val="0"/>
        <w:numPr>
          <w:ilvl w:val="0"/>
          <w:numId w:val="1"/>
        </w:numPr>
        <w:tabs>
          <w:tab w:val="left" w:pos="0"/>
        </w:tabs>
        <w:spacing w:before="0" w:after="0" w:line="268" w:lineRule="auto"/>
        <w:jc w:val="both"/>
        <w:rPr>
          <w:sz w:val="27"/>
          <w:szCs w:val="27"/>
        </w:rPr>
      </w:pPr>
    </w:p>
    <w:p w14:paraId="57201514" w14:textId="77777777" w:rsidR="00D06DDC" w:rsidRPr="00D06DDC" w:rsidRDefault="00D06DDC">
      <w:pPr>
        <w:pStyle w:val="Heading1"/>
        <w:keepNext w:val="0"/>
        <w:keepLines w:val="0"/>
        <w:numPr>
          <w:ilvl w:val="0"/>
          <w:numId w:val="1"/>
        </w:numPr>
        <w:tabs>
          <w:tab w:val="left" w:pos="0"/>
        </w:tabs>
        <w:spacing w:before="0" w:after="0" w:line="268" w:lineRule="auto"/>
        <w:jc w:val="both"/>
        <w:rPr>
          <w:sz w:val="27"/>
          <w:szCs w:val="27"/>
        </w:rPr>
      </w:pPr>
    </w:p>
    <w:p w14:paraId="0CBA2F7C" w14:textId="77777777" w:rsidR="00D06DDC" w:rsidRPr="00D06DDC" w:rsidRDefault="00D06DDC">
      <w:pPr>
        <w:pStyle w:val="Heading1"/>
        <w:keepNext w:val="0"/>
        <w:keepLines w:val="0"/>
        <w:numPr>
          <w:ilvl w:val="0"/>
          <w:numId w:val="1"/>
        </w:numPr>
        <w:tabs>
          <w:tab w:val="left" w:pos="0"/>
        </w:tabs>
        <w:spacing w:before="0" w:after="0" w:line="268" w:lineRule="auto"/>
        <w:jc w:val="both"/>
        <w:rPr>
          <w:sz w:val="27"/>
          <w:szCs w:val="27"/>
        </w:rPr>
      </w:pPr>
    </w:p>
    <w:p w14:paraId="6CD34DF9" w14:textId="77777777" w:rsidR="00687A70" w:rsidRPr="00687A70" w:rsidRDefault="00687A70" w:rsidP="00687A70"/>
    <w:p w14:paraId="658F89C8" w14:textId="5DBC5B12" w:rsidR="00F54EC4" w:rsidRDefault="00C84CE3">
      <w:pPr>
        <w:pStyle w:val="Heading1"/>
        <w:keepNext w:val="0"/>
        <w:keepLines w:val="0"/>
        <w:numPr>
          <w:ilvl w:val="0"/>
          <w:numId w:val="1"/>
        </w:numPr>
        <w:tabs>
          <w:tab w:val="left" w:pos="0"/>
        </w:tabs>
        <w:spacing w:before="0" w:after="0" w:line="268" w:lineRule="auto"/>
        <w:jc w:val="both"/>
        <w:rPr>
          <w:b/>
          <w:sz w:val="27"/>
          <w:szCs w:val="27"/>
        </w:rPr>
      </w:pPr>
      <w:r w:rsidRPr="00166DF2">
        <w:rPr>
          <w:b/>
          <w:sz w:val="27"/>
          <w:szCs w:val="27"/>
        </w:rPr>
        <w:lastRenderedPageBreak/>
        <w:t xml:space="preserve">Emissions reduction targets </w:t>
      </w:r>
    </w:p>
    <w:p w14:paraId="27BF7EE6" w14:textId="77777777" w:rsidR="00530A46" w:rsidRDefault="00530A46" w:rsidP="00530A46"/>
    <w:p w14:paraId="17733DB9" w14:textId="190EF607" w:rsidR="00530A46" w:rsidRPr="00530A46" w:rsidRDefault="00530A46" w:rsidP="00530A46">
      <w:proofErr w:type="gramStart"/>
      <w:r>
        <w:rPr>
          <w:sz w:val="27"/>
          <w:szCs w:val="27"/>
        </w:rPr>
        <w:t xml:space="preserve">In </w:t>
      </w:r>
      <w:r w:rsidRPr="00166DF2">
        <w:rPr>
          <w:sz w:val="27"/>
          <w:szCs w:val="27"/>
        </w:rPr>
        <w:t>order to</w:t>
      </w:r>
      <w:proofErr w:type="gramEnd"/>
      <w:r w:rsidRPr="00166DF2">
        <w:rPr>
          <w:sz w:val="27"/>
          <w:szCs w:val="27"/>
        </w:rPr>
        <w:t xml:space="preserve"> continue our progress to achieving Net Zero, we have adopted the following carbon reduction targets.</w:t>
      </w:r>
    </w:p>
    <w:p w14:paraId="67B59D1F" w14:textId="77777777" w:rsidR="00D06DDC" w:rsidRPr="00D06DDC" w:rsidRDefault="00D06DDC" w:rsidP="00D06DDC"/>
    <w:tbl>
      <w:tblPr>
        <w:tblStyle w:val="TableGrid"/>
        <w:tblW w:w="0" w:type="auto"/>
        <w:tblLook w:val="04A0" w:firstRow="1" w:lastRow="0" w:firstColumn="1" w:lastColumn="0" w:noHBand="0" w:noVBand="1"/>
      </w:tblPr>
      <w:tblGrid>
        <w:gridCol w:w="3005"/>
        <w:gridCol w:w="3005"/>
        <w:gridCol w:w="3006"/>
      </w:tblGrid>
      <w:tr w:rsidR="00D06DDC" w14:paraId="03B72232" w14:textId="77777777" w:rsidTr="00D06DDC">
        <w:tc>
          <w:tcPr>
            <w:tcW w:w="3005" w:type="dxa"/>
          </w:tcPr>
          <w:p w14:paraId="4479457C" w14:textId="41FA2C4C" w:rsidR="00D06DDC" w:rsidRDefault="00D06DDC" w:rsidP="00D06DDC">
            <w:pPr>
              <w:pStyle w:val="ListParagraph"/>
              <w:numPr>
                <w:ilvl w:val="0"/>
                <w:numId w:val="1"/>
              </w:numPr>
              <w:rPr>
                <w:sz w:val="27"/>
                <w:szCs w:val="27"/>
              </w:rPr>
            </w:pPr>
            <w:bookmarkStart w:id="4" w:name="_tyjcwt" w:colFirst="0" w:colLast="0"/>
            <w:bookmarkStart w:id="5" w:name="_3dy6vkm" w:colFirst="0" w:colLast="0"/>
            <w:bookmarkStart w:id="6" w:name="_Hlk210379139"/>
            <w:bookmarkEnd w:id="4"/>
            <w:bookmarkEnd w:id="5"/>
            <w:r>
              <w:rPr>
                <w:sz w:val="27"/>
                <w:szCs w:val="27"/>
              </w:rPr>
              <w:t>Year</w:t>
            </w:r>
          </w:p>
        </w:tc>
        <w:tc>
          <w:tcPr>
            <w:tcW w:w="3005" w:type="dxa"/>
          </w:tcPr>
          <w:p w14:paraId="7B6B81FB" w14:textId="4A35F0F8" w:rsidR="00D06DDC" w:rsidRDefault="00D06DDC" w:rsidP="00D06DDC">
            <w:pPr>
              <w:pStyle w:val="ListParagraph"/>
              <w:numPr>
                <w:ilvl w:val="0"/>
                <w:numId w:val="1"/>
              </w:numPr>
              <w:rPr>
                <w:sz w:val="27"/>
                <w:szCs w:val="27"/>
              </w:rPr>
            </w:pPr>
            <w:r>
              <w:rPr>
                <w:sz w:val="27"/>
                <w:szCs w:val="27"/>
              </w:rPr>
              <w:t>Target Reduction</w:t>
            </w:r>
          </w:p>
        </w:tc>
        <w:tc>
          <w:tcPr>
            <w:tcW w:w="3006" w:type="dxa"/>
          </w:tcPr>
          <w:p w14:paraId="66667583" w14:textId="51336E45" w:rsidR="00D06DDC" w:rsidRDefault="00D06DDC" w:rsidP="00D06DDC">
            <w:pPr>
              <w:pStyle w:val="ListParagraph"/>
              <w:numPr>
                <w:ilvl w:val="0"/>
                <w:numId w:val="1"/>
              </w:numPr>
              <w:rPr>
                <w:sz w:val="27"/>
                <w:szCs w:val="27"/>
              </w:rPr>
            </w:pPr>
            <w:r>
              <w:rPr>
                <w:sz w:val="27"/>
                <w:szCs w:val="27"/>
              </w:rPr>
              <w:t>Expected Emissions (tCO2e)</w:t>
            </w:r>
          </w:p>
        </w:tc>
      </w:tr>
      <w:tr w:rsidR="00D06DDC" w14:paraId="69B0A879" w14:textId="77777777" w:rsidTr="00D06DDC">
        <w:tc>
          <w:tcPr>
            <w:tcW w:w="3005" w:type="dxa"/>
          </w:tcPr>
          <w:p w14:paraId="23A79874" w14:textId="5F1DBC95" w:rsidR="00D06DDC" w:rsidRDefault="00D06DDC" w:rsidP="00D06DDC">
            <w:pPr>
              <w:pStyle w:val="ListParagraph"/>
              <w:numPr>
                <w:ilvl w:val="0"/>
                <w:numId w:val="1"/>
              </w:numPr>
              <w:rPr>
                <w:sz w:val="27"/>
                <w:szCs w:val="27"/>
              </w:rPr>
            </w:pPr>
            <w:r>
              <w:rPr>
                <w:sz w:val="27"/>
                <w:szCs w:val="27"/>
              </w:rPr>
              <w:t>2025</w:t>
            </w:r>
          </w:p>
        </w:tc>
        <w:tc>
          <w:tcPr>
            <w:tcW w:w="3005" w:type="dxa"/>
          </w:tcPr>
          <w:p w14:paraId="6F906E22" w14:textId="0E7C847A" w:rsidR="00D06DDC" w:rsidRDefault="00D06DDC" w:rsidP="00D06DDC">
            <w:pPr>
              <w:pStyle w:val="ListParagraph"/>
              <w:numPr>
                <w:ilvl w:val="0"/>
                <w:numId w:val="1"/>
              </w:numPr>
              <w:rPr>
                <w:sz w:val="27"/>
                <w:szCs w:val="27"/>
              </w:rPr>
            </w:pPr>
            <w:r>
              <w:rPr>
                <w:sz w:val="27"/>
                <w:szCs w:val="27"/>
              </w:rPr>
              <w:t>10%</w:t>
            </w:r>
          </w:p>
        </w:tc>
        <w:tc>
          <w:tcPr>
            <w:tcW w:w="3006" w:type="dxa"/>
          </w:tcPr>
          <w:p w14:paraId="12DDFFF2" w14:textId="05E30C19" w:rsidR="00D06DDC" w:rsidRDefault="00530A46" w:rsidP="00530A46">
            <w:pPr>
              <w:pStyle w:val="ListParagraph"/>
              <w:numPr>
                <w:ilvl w:val="0"/>
                <w:numId w:val="1"/>
              </w:numPr>
              <w:rPr>
                <w:sz w:val="27"/>
                <w:szCs w:val="27"/>
              </w:rPr>
            </w:pPr>
            <w:r>
              <w:rPr>
                <w:sz w:val="27"/>
                <w:szCs w:val="27"/>
              </w:rPr>
              <w:t>35.54</w:t>
            </w:r>
          </w:p>
        </w:tc>
      </w:tr>
      <w:tr w:rsidR="00D06DDC" w14:paraId="343EBFB6" w14:textId="77777777" w:rsidTr="00D06DDC">
        <w:tc>
          <w:tcPr>
            <w:tcW w:w="3005" w:type="dxa"/>
          </w:tcPr>
          <w:p w14:paraId="393C27B0" w14:textId="4DC54010" w:rsidR="00D06DDC" w:rsidRDefault="00D06DDC" w:rsidP="00D06DDC">
            <w:pPr>
              <w:pStyle w:val="ListParagraph"/>
              <w:numPr>
                <w:ilvl w:val="0"/>
                <w:numId w:val="1"/>
              </w:numPr>
              <w:rPr>
                <w:sz w:val="27"/>
                <w:szCs w:val="27"/>
              </w:rPr>
            </w:pPr>
            <w:r>
              <w:rPr>
                <w:sz w:val="27"/>
                <w:szCs w:val="27"/>
              </w:rPr>
              <w:t>2030</w:t>
            </w:r>
          </w:p>
        </w:tc>
        <w:tc>
          <w:tcPr>
            <w:tcW w:w="3005" w:type="dxa"/>
          </w:tcPr>
          <w:p w14:paraId="53CB5CD5" w14:textId="50E501B6" w:rsidR="00D06DDC" w:rsidRDefault="00D06DDC" w:rsidP="00D06DDC">
            <w:pPr>
              <w:pStyle w:val="ListParagraph"/>
              <w:numPr>
                <w:ilvl w:val="0"/>
                <w:numId w:val="1"/>
              </w:numPr>
              <w:rPr>
                <w:sz w:val="27"/>
                <w:szCs w:val="27"/>
              </w:rPr>
            </w:pPr>
            <w:r>
              <w:rPr>
                <w:sz w:val="27"/>
                <w:szCs w:val="27"/>
              </w:rPr>
              <w:t>25%</w:t>
            </w:r>
          </w:p>
        </w:tc>
        <w:tc>
          <w:tcPr>
            <w:tcW w:w="3006" w:type="dxa"/>
          </w:tcPr>
          <w:p w14:paraId="3BB545AD" w14:textId="5532E0E2" w:rsidR="00D06DDC" w:rsidRDefault="00530A46" w:rsidP="00D06DDC">
            <w:pPr>
              <w:pStyle w:val="ListParagraph"/>
              <w:numPr>
                <w:ilvl w:val="0"/>
                <w:numId w:val="1"/>
              </w:numPr>
              <w:rPr>
                <w:sz w:val="27"/>
                <w:szCs w:val="27"/>
              </w:rPr>
            </w:pPr>
            <w:r>
              <w:rPr>
                <w:sz w:val="27"/>
                <w:szCs w:val="27"/>
              </w:rPr>
              <w:t>26.65</w:t>
            </w:r>
          </w:p>
        </w:tc>
      </w:tr>
      <w:tr w:rsidR="00D06DDC" w14:paraId="155CFF4F" w14:textId="77777777" w:rsidTr="00D06DDC">
        <w:tc>
          <w:tcPr>
            <w:tcW w:w="3005" w:type="dxa"/>
          </w:tcPr>
          <w:p w14:paraId="664D75FE" w14:textId="15C7861E" w:rsidR="00D06DDC" w:rsidRDefault="00D06DDC" w:rsidP="00D06DDC">
            <w:pPr>
              <w:pStyle w:val="ListParagraph"/>
              <w:numPr>
                <w:ilvl w:val="0"/>
                <w:numId w:val="1"/>
              </w:numPr>
              <w:rPr>
                <w:sz w:val="27"/>
                <w:szCs w:val="27"/>
              </w:rPr>
            </w:pPr>
            <w:r>
              <w:rPr>
                <w:sz w:val="27"/>
                <w:szCs w:val="27"/>
              </w:rPr>
              <w:t>2040</w:t>
            </w:r>
          </w:p>
        </w:tc>
        <w:tc>
          <w:tcPr>
            <w:tcW w:w="3005" w:type="dxa"/>
          </w:tcPr>
          <w:p w14:paraId="44B4790D" w14:textId="1304BC46" w:rsidR="00D06DDC" w:rsidRDefault="00D06DDC" w:rsidP="00D06DDC">
            <w:pPr>
              <w:pStyle w:val="ListParagraph"/>
              <w:numPr>
                <w:ilvl w:val="0"/>
                <w:numId w:val="1"/>
              </w:numPr>
              <w:rPr>
                <w:sz w:val="27"/>
                <w:szCs w:val="27"/>
              </w:rPr>
            </w:pPr>
            <w:r>
              <w:rPr>
                <w:sz w:val="27"/>
                <w:szCs w:val="27"/>
              </w:rPr>
              <w:t>50%</w:t>
            </w:r>
          </w:p>
        </w:tc>
        <w:tc>
          <w:tcPr>
            <w:tcW w:w="3006" w:type="dxa"/>
          </w:tcPr>
          <w:p w14:paraId="5A94B127" w14:textId="24AD68B5" w:rsidR="00D06DDC" w:rsidRDefault="00530A46" w:rsidP="00530A46">
            <w:pPr>
              <w:pStyle w:val="ListParagraph"/>
              <w:numPr>
                <w:ilvl w:val="0"/>
                <w:numId w:val="1"/>
              </w:numPr>
              <w:rPr>
                <w:sz w:val="27"/>
                <w:szCs w:val="27"/>
              </w:rPr>
            </w:pPr>
            <w:r>
              <w:rPr>
                <w:sz w:val="27"/>
                <w:szCs w:val="27"/>
              </w:rPr>
              <w:t>17.77</w:t>
            </w:r>
          </w:p>
        </w:tc>
      </w:tr>
      <w:tr w:rsidR="00D06DDC" w14:paraId="766DB490" w14:textId="77777777" w:rsidTr="00D06DDC">
        <w:tc>
          <w:tcPr>
            <w:tcW w:w="3005" w:type="dxa"/>
          </w:tcPr>
          <w:p w14:paraId="2EC4AEDB" w14:textId="3F788728" w:rsidR="00D06DDC" w:rsidRDefault="00D06DDC" w:rsidP="00D06DDC">
            <w:pPr>
              <w:pStyle w:val="ListParagraph"/>
              <w:numPr>
                <w:ilvl w:val="0"/>
                <w:numId w:val="1"/>
              </w:numPr>
              <w:rPr>
                <w:sz w:val="27"/>
                <w:szCs w:val="27"/>
              </w:rPr>
            </w:pPr>
            <w:r>
              <w:rPr>
                <w:sz w:val="27"/>
                <w:szCs w:val="27"/>
              </w:rPr>
              <w:t>2050</w:t>
            </w:r>
          </w:p>
        </w:tc>
        <w:tc>
          <w:tcPr>
            <w:tcW w:w="3005" w:type="dxa"/>
          </w:tcPr>
          <w:p w14:paraId="4A74DA21" w14:textId="198FDAD4" w:rsidR="00D06DDC" w:rsidRDefault="00D06DDC" w:rsidP="00D06DDC">
            <w:pPr>
              <w:pStyle w:val="ListParagraph"/>
              <w:numPr>
                <w:ilvl w:val="0"/>
                <w:numId w:val="1"/>
              </w:numPr>
              <w:rPr>
                <w:sz w:val="27"/>
                <w:szCs w:val="27"/>
              </w:rPr>
            </w:pPr>
            <w:r>
              <w:rPr>
                <w:sz w:val="27"/>
                <w:szCs w:val="27"/>
              </w:rPr>
              <w:t>Net Zero</w:t>
            </w:r>
          </w:p>
        </w:tc>
        <w:tc>
          <w:tcPr>
            <w:tcW w:w="3006" w:type="dxa"/>
          </w:tcPr>
          <w:p w14:paraId="7FE10444" w14:textId="2B96B289" w:rsidR="00D06DDC" w:rsidRDefault="00530A46" w:rsidP="00530A46">
            <w:pPr>
              <w:pStyle w:val="ListParagraph"/>
              <w:numPr>
                <w:ilvl w:val="0"/>
                <w:numId w:val="1"/>
              </w:numPr>
              <w:rPr>
                <w:sz w:val="27"/>
                <w:szCs w:val="27"/>
              </w:rPr>
            </w:pPr>
            <w:r>
              <w:rPr>
                <w:sz w:val="27"/>
                <w:szCs w:val="27"/>
              </w:rPr>
              <w:t>0</w:t>
            </w:r>
          </w:p>
        </w:tc>
      </w:tr>
    </w:tbl>
    <w:p w14:paraId="2E8A79CC" w14:textId="77777777" w:rsidR="00530A46" w:rsidRPr="00530A46" w:rsidRDefault="00530A46" w:rsidP="00530A46">
      <w:pPr>
        <w:pStyle w:val="ListParagraph"/>
        <w:numPr>
          <w:ilvl w:val="0"/>
          <w:numId w:val="1"/>
        </w:numPr>
        <w:rPr>
          <w:sz w:val="27"/>
          <w:szCs w:val="27"/>
        </w:rPr>
      </w:pPr>
      <w:bookmarkStart w:id="7" w:name="_4d34og8" w:colFirst="0" w:colLast="0"/>
      <w:bookmarkEnd w:id="6"/>
      <w:bookmarkEnd w:id="7"/>
    </w:p>
    <w:p w14:paraId="7682D77E" w14:textId="77777777" w:rsidR="00530A46" w:rsidRPr="00530A46" w:rsidRDefault="00530A46" w:rsidP="00530A46"/>
    <w:p w14:paraId="168F7D91" w14:textId="2E3D13D1" w:rsidR="00F54EC4" w:rsidRPr="00687A70" w:rsidRDefault="00C84CE3">
      <w:pPr>
        <w:pStyle w:val="Heading1"/>
        <w:keepNext w:val="0"/>
        <w:keepLines w:val="0"/>
        <w:numPr>
          <w:ilvl w:val="0"/>
          <w:numId w:val="1"/>
        </w:numPr>
        <w:tabs>
          <w:tab w:val="left" w:pos="0"/>
        </w:tabs>
        <w:spacing w:before="0" w:after="0" w:line="268" w:lineRule="auto"/>
        <w:jc w:val="both"/>
        <w:rPr>
          <w:sz w:val="27"/>
          <w:szCs w:val="27"/>
        </w:rPr>
      </w:pPr>
      <w:bookmarkStart w:id="8" w:name="_2s8eyo1" w:colFirst="0" w:colLast="0"/>
      <w:bookmarkEnd w:id="8"/>
      <w:r w:rsidRPr="00687A70">
        <w:rPr>
          <w:sz w:val="27"/>
          <w:szCs w:val="27"/>
        </w:rPr>
        <w:t xml:space="preserve">We project that carbon emissions will decrease over the next five years to </w:t>
      </w:r>
      <w:r w:rsidR="00530A46" w:rsidRPr="00687A70">
        <w:rPr>
          <w:color w:val="auto"/>
          <w:sz w:val="27"/>
          <w:szCs w:val="27"/>
        </w:rPr>
        <w:t xml:space="preserve">26.65 </w:t>
      </w:r>
      <w:r w:rsidRPr="00687A70">
        <w:rPr>
          <w:color w:val="auto"/>
          <w:sz w:val="27"/>
          <w:szCs w:val="27"/>
        </w:rPr>
        <w:t>tCO</w:t>
      </w:r>
      <w:r w:rsidRPr="00687A70">
        <w:rPr>
          <w:color w:val="auto"/>
          <w:sz w:val="27"/>
          <w:szCs w:val="27"/>
          <w:vertAlign w:val="subscript"/>
        </w:rPr>
        <w:t>2</w:t>
      </w:r>
      <w:r w:rsidRPr="00687A70">
        <w:rPr>
          <w:color w:val="auto"/>
          <w:sz w:val="27"/>
          <w:szCs w:val="27"/>
        </w:rPr>
        <w:t>e by 20</w:t>
      </w:r>
      <w:r w:rsidR="00530A46" w:rsidRPr="00687A70">
        <w:rPr>
          <w:color w:val="auto"/>
          <w:sz w:val="27"/>
          <w:szCs w:val="27"/>
        </w:rPr>
        <w:t>30</w:t>
      </w:r>
      <w:r w:rsidRPr="00687A70">
        <w:rPr>
          <w:color w:val="auto"/>
          <w:sz w:val="27"/>
          <w:szCs w:val="27"/>
        </w:rPr>
        <w:t xml:space="preserve"> </w:t>
      </w:r>
      <w:r w:rsidRPr="00687A70">
        <w:rPr>
          <w:sz w:val="27"/>
          <w:szCs w:val="27"/>
        </w:rPr>
        <w:t>This is a reduction of</w:t>
      </w:r>
      <w:r w:rsidR="00132B9B" w:rsidRPr="00687A70">
        <w:rPr>
          <w:sz w:val="27"/>
          <w:szCs w:val="27"/>
        </w:rPr>
        <w:t xml:space="preserve"> 25</w:t>
      </w:r>
      <w:r w:rsidRPr="00687A70">
        <w:rPr>
          <w:sz w:val="27"/>
          <w:szCs w:val="27"/>
        </w:rPr>
        <w:t>%</w:t>
      </w:r>
    </w:p>
    <w:p w14:paraId="16BE86FA" w14:textId="77777777" w:rsidR="00132B9B" w:rsidRPr="00132B9B" w:rsidRDefault="00132B9B" w:rsidP="00132B9B"/>
    <w:p w14:paraId="19D0D881" w14:textId="77777777" w:rsidR="00F54EC4" w:rsidRDefault="00C84CE3">
      <w:pPr>
        <w:pStyle w:val="Heading1"/>
        <w:keepNext w:val="0"/>
        <w:keepLines w:val="0"/>
        <w:numPr>
          <w:ilvl w:val="0"/>
          <w:numId w:val="1"/>
        </w:numPr>
        <w:tabs>
          <w:tab w:val="left" w:pos="0"/>
        </w:tabs>
        <w:spacing w:before="0" w:after="0" w:line="268" w:lineRule="auto"/>
        <w:jc w:val="both"/>
        <w:rPr>
          <w:sz w:val="27"/>
          <w:szCs w:val="27"/>
        </w:rPr>
      </w:pPr>
      <w:bookmarkStart w:id="9" w:name="_17dp8vu" w:colFirst="0" w:colLast="0"/>
      <w:bookmarkStart w:id="10" w:name="_3rdcrjn" w:colFirst="0" w:colLast="0"/>
      <w:bookmarkStart w:id="11" w:name="_26in1rg" w:colFirst="0" w:colLast="0"/>
      <w:bookmarkStart w:id="12" w:name="_lnxbz9" w:colFirst="0" w:colLast="0"/>
      <w:bookmarkStart w:id="13" w:name="_35nkun2" w:colFirst="0" w:colLast="0"/>
      <w:bookmarkStart w:id="14" w:name="_1ksv4uv" w:colFirst="0" w:colLast="0"/>
      <w:bookmarkStart w:id="15" w:name="_44sinio" w:colFirst="0" w:colLast="0"/>
      <w:bookmarkStart w:id="16" w:name="_2jxsxqh" w:colFirst="0" w:colLast="0"/>
      <w:bookmarkStart w:id="17" w:name="_z337ya" w:colFirst="0" w:colLast="0"/>
      <w:bookmarkStart w:id="18" w:name="_3j2qqm3" w:colFirst="0" w:colLast="0"/>
      <w:bookmarkStart w:id="19" w:name="_1y810tw" w:colFirst="0" w:colLast="0"/>
      <w:bookmarkStart w:id="20" w:name="_4i7ojhp" w:colFirst="0" w:colLast="0"/>
      <w:bookmarkStart w:id="21" w:name="_2xcytpi" w:colFirst="0" w:colLast="0"/>
      <w:bookmarkStart w:id="22" w:name="_1ci93xb" w:colFirst="0" w:colLast="0"/>
      <w:bookmarkStart w:id="23" w:name="_3whwml4" w:colFirst="0" w:colLast="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166DF2">
        <w:rPr>
          <w:sz w:val="27"/>
          <w:szCs w:val="27"/>
        </w:rPr>
        <w:t>Progress against these targets can be seen in the graph below:</w:t>
      </w:r>
    </w:p>
    <w:p w14:paraId="0C7E2308" w14:textId="77777777" w:rsidR="00687A70" w:rsidRPr="00687A70" w:rsidRDefault="00687A70" w:rsidP="00687A70"/>
    <w:p w14:paraId="7C0E8282" w14:textId="653D480F" w:rsidR="00F54EC4" w:rsidRPr="00166DF2" w:rsidRDefault="00C84CE3">
      <w:pPr>
        <w:pStyle w:val="Heading1"/>
        <w:keepNext w:val="0"/>
        <w:keepLines w:val="0"/>
        <w:numPr>
          <w:ilvl w:val="0"/>
          <w:numId w:val="1"/>
        </w:numPr>
        <w:tabs>
          <w:tab w:val="left" w:pos="0"/>
        </w:tabs>
        <w:spacing w:before="0" w:after="0" w:line="268" w:lineRule="auto"/>
        <w:jc w:val="both"/>
        <w:rPr>
          <w:sz w:val="27"/>
          <w:szCs w:val="27"/>
        </w:rPr>
      </w:pPr>
      <w:bookmarkStart w:id="24" w:name="_2bn6wsx" w:colFirst="0" w:colLast="0"/>
      <w:bookmarkEnd w:id="24"/>
      <w:r w:rsidRPr="00166DF2">
        <w:rPr>
          <w:sz w:val="27"/>
          <w:szCs w:val="27"/>
        </w:rPr>
        <w:t xml:space="preserve">  </w:t>
      </w:r>
      <w:r w:rsidR="00102819">
        <w:rPr>
          <w:noProof/>
        </w:rPr>
        <w:drawing>
          <wp:inline distT="0" distB="0" distL="0" distR="0" wp14:anchorId="0433869A" wp14:editId="6A3DF06C">
            <wp:extent cx="4581525" cy="2752725"/>
            <wp:effectExtent l="0" t="0" r="9525" b="9525"/>
            <wp:docPr id="972785571" name="Picture 1"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85571" name="Picture 1" descr="A graph with a line going up&#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0AB98F73" w14:textId="77777777" w:rsidR="00687A70" w:rsidRPr="00687A70" w:rsidRDefault="00687A70">
      <w:pPr>
        <w:pStyle w:val="Heading1"/>
        <w:numPr>
          <w:ilvl w:val="0"/>
          <w:numId w:val="1"/>
        </w:numPr>
        <w:tabs>
          <w:tab w:val="left" w:pos="0"/>
        </w:tabs>
        <w:spacing w:before="360" w:after="0" w:line="244" w:lineRule="auto"/>
        <w:rPr>
          <w:sz w:val="27"/>
          <w:szCs w:val="27"/>
        </w:rPr>
      </w:pPr>
      <w:bookmarkStart w:id="25" w:name="_qsh70q" w:colFirst="0" w:colLast="0"/>
      <w:bookmarkEnd w:id="25"/>
    </w:p>
    <w:p w14:paraId="03585668" w14:textId="77777777" w:rsidR="00687A70" w:rsidRPr="00687A70" w:rsidRDefault="00687A70">
      <w:pPr>
        <w:pStyle w:val="Heading1"/>
        <w:numPr>
          <w:ilvl w:val="0"/>
          <w:numId w:val="1"/>
        </w:numPr>
        <w:tabs>
          <w:tab w:val="left" w:pos="0"/>
        </w:tabs>
        <w:spacing w:before="360" w:after="0" w:line="244" w:lineRule="auto"/>
        <w:rPr>
          <w:sz w:val="27"/>
          <w:szCs w:val="27"/>
        </w:rPr>
      </w:pPr>
    </w:p>
    <w:p w14:paraId="2ACD2C7A" w14:textId="77777777" w:rsidR="00687A70" w:rsidRPr="00687A70" w:rsidRDefault="00687A70">
      <w:pPr>
        <w:pStyle w:val="Heading1"/>
        <w:numPr>
          <w:ilvl w:val="0"/>
          <w:numId w:val="1"/>
        </w:numPr>
        <w:tabs>
          <w:tab w:val="left" w:pos="0"/>
        </w:tabs>
        <w:spacing w:before="360" w:after="0" w:line="244" w:lineRule="auto"/>
        <w:rPr>
          <w:sz w:val="27"/>
          <w:szCs w:val="27"/>
        </w:rPr>
      </w:pPr>
    </w:p>
    <w:p w14:paraId="469ED366" w14:textId="77777777" w:rsidR="00687A70" w:rsidRDefault="00687A70" w:rsidP="00687A70">
      <w:pPr>
        <w:pStyle w:val="Heading1"/>
        <w:tabs>
          <w:tab w:val="left" w:pos="0"/>
        </w:tabs>
        <w:spacing w:before="360" w:after="0" w:line="244" w:lineRule="auto"/>
        <w:rPr>
          <w:sz w:val="27"/>
          <w:szCs w:val="27"/>
        </w:rPr>
      </w:pPr>
    </w:p>
    <w:p w14:paraId="4DCA3642" w14:textId="77777777" w:rsidR="00687A70" w:rsidRDefault="00687A70" w:rsidP="00687A70"/>
    <w:p w14:paraId="7AB4ABDF" w14:textId="77777777" w:rsidR="00687A70" w:rsidRPr="00687A70" w:rsidRDefault="00687A70" w:rsidP="00687A70"/>
    <w:p w14:paraId="429DAB7C" w14:textId="77777777" w:rsidR="00687A70" w:rsidRPr="00687A70" w:rsidRDefault="00687A70" w:rsidP="008834BF">
      <w:pPr>
        <w:pStyle w:val="Heading1"/>
        <w:tabs>
          <w:tab w:val="left" w:pos="0"/>
        </w:tabs>
        <w:spacing w:before="360" w:after="0" w:line="244" w:lineRule="auto"/>
        <w:rPr>
          <w:sz w:val="27"/>
          <w:szCs w:val="27"/>
        </w:rPr>
      </w:pPr>
    </w:p>
    <w:p w14:paraId="53B1B787" w14:textId="5620C7CB" w:rsidR="00F54EC4" w:rsidRPr="00166DF2" w:rsidRDefault="00C84CE3">
      <w:pPr>
        <w:pStyle w:val="Heading1"/>
        <w:numPr>
          <w:ilvl w:val="0"/>
          <w:numId w:val="1"/>
        </w:numPr>
        <w:tabs>
          <w:tab w:val="left" w:pos="0"/>
        </w:tabs>
        <w:spacing w:before="360" w:after="0" w:line="244" w:lineRule="auto"/>
        <w:rPr>
          <w:sz w:val="27"/>
          <w:szCs w:val="27"/>
        </w:rPr>
      </w:pPr>
      <w:r w:rsidRPr="00166DF2">
        <w:rPr>
          <w:b/>
          <w:sz w:val="27"/>
          <w:szCs w:val="27"/>
        </w:rPr>
        <w:t>Carbon Reduction Projects</w:t>
      </w:r>
    </w:p>
    <w:p w14:paraId="63DA8B16" w14:textId="77777777" w:rsidR="00F54EC4" w:rsidRPr="00687A70" w:rsidRDefault="00C84CE3">
      <w:pPr>
        <w:pStyle w:val="Heading3"/>
        <w:numPr>
          <w:ilvl w:val="2"/>
          <w:numId w:val="1"/>
        </w:numPr>
        <w:tabs>
          <w:tab w:val="left" w:pos="0"/>
        </w:tabs>
        <w:spacing w:line="244" w:lineRule="auto"/>
        <w:rPr>
          <w:sz w:val="27"/>
          <w:szCs w:val="27"/>
        </w:rPr>
      </w:pPr>
      <w:bookmarkStart w:id="26" w:name="_3as4poj" w:colFirst="0" w:colLast="0"/>
      <w:bookmarkEnd w:id="26"/>
      <w:r w:rsidRPr="00687A70">
        <w:rPr>
          <w:sz w:val="27"/>
          <w:szCs w:val="27"/>
        </w:rPr>
        <w:t>Completed Carbon Reduction Initiatives</w:t>
      </w:r>
    </w:p>
    <w:p w14:paraId="5216AB0D" w14:textId="66E73E9D" w:rsidR="00F54EC4" w:rsidRPr="00687A70" w:rsidRDefault="00C84CE3">
      <w:pPr>
        <w:spacing w:after="140" w:line="268" w:lineRule="auto"/>
        <w:rPr>
          <w:sz w:val="27"/>
          <w:szCs w:val="27"/>
        </w:rPr>
      </w:pPr>
      <w:r w:rsidRPr="00687A70">
        <w:rPr>
          <w:sz w:val="27"/>
          <w:szCs w:val="27"/>
        </w:rPr>
        <w:t>The following environmental management measures and projects have been completed or implemented since the 20</w:t>
      </w:r>
      <w:r w:rsidR="00D06DDC" w:rsidRPr="00687A70">
        <w:rPr>
          <w:sz w:val="27"/>
          <w:szCs w:val="27"/>
        </w:rPr>
        <w:t>24/25</w:t>
      </w:r>
      <w:r w:rsidRPr="00687A70">
        <w:rPr>
          <w:sz w:val="27"/>
          <w:szCs w:val="27"/>
        </w:rPr>
        <w:t xml:space="preserve"> baseline. The carbon emission reduction achieved by these schemes equate to </w:t>
      </w:r>
      <w:r w:rsidR="00132B9B" w:rsidRPr="00687A70">
        <w:rPr>
          <w:sz w:val="27"/>
          <w:szCs w:val="27"/>
        </w:rPr>
        <w:t>3.38</w:t>
      </w:r>
      <w:r w:rsidRPr="00687A70">
        <w:rPr>
          <w:sz w:val="27"/>
          <w:szCs w:val="27"/>
        </w:rPr>
        <w:t xml:space="preserve"> tCO</w:t>
      </w:r>
      <w:r w:rsidRPr="00687A70">
        <w:rPr>
          <w:sz w:val="27"/>
          <w:szCs w:val="27"/>
          <w:vertAlign w:val="subscript"/>
        </w:rPr>
        <w:t>2</w:t>
      </w:r>
      <w:r w:rsidRPr="00687A70">
        <w:rPr>
          <w:sz w:val="27"/>
          <w:szCs w:val="27"/>
        </w:rPr>
        <w:t xml:space="preserve">e, a </w:t>
      </w:r>
      <w:r w:rsidR="00132B9B" w:rsidRPr="00687A70">
        <w:rPr>
          <w:sz w:val="27"/>
          <w:szCs w:val="27"/>
        </w:rPr>
        <w:t>10</w:t>
      </w:r>
      <w:r w:rsidRPr="00687A70">
        <w:rPr>
          <w:sz w:val="27"/>
          <w:szCs w:val="27"/>
        </w:rPr>
        <w:t>% reduction against the 20</w:t>
      </w:r>
      <w:r w:rsidR="00132B9B" w:rsidRPr="00687A70">
        <w:rPr>
          <w:sz w:val="27"/>
          <w:szCs w:val="27"/>
        </w:rPr>
        <w:t>24/2025</w:t>
      </w:r>
      <w:r w:rsidRPr="00687A70">
        <w:rPr>
          <w:sz w:val="27"/>
          <w:szCs w:val="27"/>
        </w:rPr>
        <w:t xml:space="preserve"> baseline and the measures will be in effect when performing the contract</w:t>
      </w:r>
    </w:p>
    <w:p w14:paraId="07010637" w14:textId="77777777" w:rsidR="00132B9B" w:rsidRDefault="00132B9B" w:rsidP="00132B9B">
      <w:pPr>
        <w:pStyle w:val="Heading1"/>
        <w:rPr>
          <w:b/>
          <w:bCs/>
          <w:sz w:val="27"/>
          <w:szCs w:val="27"/>
        </w:rPr>
      </w:pPr>
      <w:r w:rsidRPr="00132B9B">
        <w:rPr>
          <w:b/>
          <w:bCs/>
          <w:sz w:val="27"/>
          <w:szCs w:val="27"/>
        </w:rPr>
        <w:t>Carbon Reduction Measures</w:t>
      </w:r>
    </w:p>
    <w:p w14:paraId="7615FBB8" w14:textId="77777777" w:rsidR="00132B9B" w:rsidRPr="00132B9B" w:rsidRDefault="00132B9B" w:rsidP="00132B9B"/>
    <w:p w14:paraId="4D581305" w14:textId="79D8DC6F" w:rsidR="00132B9B" w:rsidRDefault="00132B9B" w:rsidP="00132B9B">
      <w:r w:rsidRPr="00832E1F">
        <w:t>Office Operations:</w:t>
      </w:r>
      <w:r w:rsidRPr="00832E1F">
        <w:br/>
        <w:t>- Energy-efficient heating/cooling</w:t>
      </w:r>
      <w:r w:rsidRPr="00832E1F">
        <w:br/>
        <w:t>- LED lighting and reduced printing</w:t>
      </w:r>
      <w:r w:rsidRPr="00832E1F">
        <w:br/>
        <w:t>- Cloud-based document management</w:t>
      </w:r>
    </w:p>
    <w:p w14:paraId="3AD796F7" w14:textId="77777777" w:rsidR="00132B9B" w:rsidRPr="00832E1F" w:rsidRDefault="00132B9B" w:rsidP="00132B9B"/>
    <w:p w14:paraId="46DE72A5" w14:textId="5478B4D3" w:rsidR="00132B9B" w:rsidRDefault="00132B9B" w:rsidP="00132B9B">
      <w:r w:rsidRPr="00832E1F">
        <w:t>Travel:</w:t>
      </w:r>
      <w:r w:rsidRPr="00832E1F">
        <w:br/>
        <w:t>- Public transport &amp; car-sharing</w:t>
      </w:r>
      <w:r w:rsidRPr="00832E1F">
        <w:br/>
        <w:t>- Video conferencing</w:t>
      </w:r>
    </w:p>
    <w:p w14:paraId="4F70038D" w14:textId="77777777" w:rsidR="00132B9B" w:rsidRPr="00832E1F" w:rsidRDefault="00132B9B" w:rsidP="00132B9B"/>
    <w:p w14:paraId="5EE0F6E3" w14:textId="77777777" w:rsidR="00132B9B" w:rsidRDefault="00132B9B" w:rsidP="00132B9B">
      <w:r w:rsidRPr="00832E1F">
        <w:t>Procurement &amp; Waste:</w:t>
      </w:r>
      <w:r w:rsidRPr="00832E1F">
        <w:br/>
        <w:t>- Sustainable materials</w:t>
      </w:r>
      <w:r w:rsidRPr="00832E1F">
        <w:br/>
        <w:t>- Supplier sustainability</w:t>
      </w:r>
      <w:r w:rsidRPr="00832E1F">
        <w:br/>
        <w:t>- Reuse/recycle office waste</w:t>
      </w:r>
    </w:p>
    <w:p w14:paraId="5170AEDC" w14:textId="77777777" w:rsidR="00132B9B" w:rsidRPr="00832E1F" w:rsidRDefault="00132B9B" w:rsidP="00132B9B"/>
    <w:p w14:paraId="776C3F39" w14:textId="6E3AE232" w:rsidR="00132B9B" w:rsidRPr="00832E1F" w:rsidRDefault="00132B9B" w:rsidP="00132B9B">
      <w:r w:rsidRPr="00832E1F">
        <w:t>Surveying &amp; Project Work:</w:t>
      </w:r>
      <w:r w:rsidRPr="00832E1F">
        <w:br/>
        <w:t>- BIM for efficiency</w:t>
      </w:r>
      <w:r w:rsidRPr="00832E1F">
        <w:br/>
      </w:r>
    </w:p>
    <w:p w14:paraId="64686738" w14:textId="77777777" w:rsidR="00F54EC4" w:rsidRPr="00166DF2" w:rsidRDefault="00C84CE3">
      <w:pPr>
        <w:spacing w:line="244" w:lineRule="auto"/>
        <w:rPr>
          <w:b/>
          <w:sz w:val="27"/>
          <w:szCs w:val="27"/>
        </w:rPr>
      </w:pPr>
      <w:r w:rsidRPr="00166DF2">
        <w:rPr>
          <w:b/>
          <w:sz w:val="27"/>
          <w:szCs w:val="27"/>
        </w:rPr>
        <w:t>Future carbon reduction initiatives</w:t>
      </w:r>
    </w:p>
    <w:p w14:paraId="144CAB6F" w14:textId="77777777" w:rsidR="00F54EC4" w:rsidRPr="00166DF2" w:rsidRDefault="00C84CE3">
      <w:pPr>
        <w:spacing w:line="244" w:lineRule="auto"/>
        <w:rPr>
          <w:sz w:val="27"/>
          <w:szCs w:val="27"/>
        </w:rPr>
      </w:pPr>
      <w:r w:rsidRPr="00166DF2">
        <w:rPr>
          <w:sz w:val="27"/>
          <w:szCs w:val="27"/>
        </w:rPr>
        <w:t>In the future we hope to implement further measures such as:</w:t>
      </w:r>
    </w:p>
    <w:p w14:paraId="703E7E7E" w14:textId="4CBF65DB" w:rsidR="00F54EC4" w:rsidRDefault="00F54EC4" w:rsidP="000D3177">
      <w:pPr>
        <w:pStyle w:val="Heading1"/>
        <w:keepNext w:val="0"/>
        <w:keepLines w:val="0"/>
        <w:tabs>
          <w:tab w:val="left" w:pos="0"/>
        </w:tabs>
        <w:spacing w:before="0" w:after="0" w:line="268" w:lineRule="auto"/>
        <w:jc w:val="both"/>
        <w:rPr>
          <w:sz w:val="27"/>
          <w:szCs w:val="27"/>
        </w:rPr>
      </w:pPr>
      <w:bookmarkStart w:id="27" w:name="_1pxezwc" w:colFirst="0" w:colLast="0"/>
      <w:bookmarkEnd w:id="27"/>
    </w:p>
    <w:p w14:paraId="54379B14" w14:textId="598D435A" w:rsidR="000D3177" w:rsidRPr="00832E1F" w:rsidRDefault="000D3177" w:rsidP="000D3177">
      <w:r w:rsidRPr="00832E1F">
        <w:t>Office Operations:</w:t>
      </w:r>
      <w:r w:rsidRPr="00832E1F">
        <w:br/>
        <w:t>- Renewable electricity</w:t>
      </w:r>
      <w:r w:rsidRPr="00832E1F">
        <w:br/>
      </w:r>
    </w:p>
    <w:p w14:paraId="1EFD6481" w14:textId="32D0037D" w:rsidR="000D3177" w:rsidRPr="00832E1F" w:rsidRDefault="000D3177" w:rsidP="000D3177">
      <w:r w:rsidRPr="00832E1F">
        <w:t>Travel:</w:t>
      </w:r>
      <w:r w:rsidRPr="00832E1F">
        <w:br/>
        <w:t>- Electrify fleet (company cars)</w:t>
      </w:r>
      <w:r w:rsidRPr="00832E1F">
        <w:br/>
      </w:r>
    </w:p>
    <w:p w14:paraId="7A057344" w14:textId="5726283A" w:rsidR="000D3177" w:rsidRDefault="000D3177" w:rsidP="000D3177">
      <w:r w:rsidRPr="00832E1F">
        <w:t>Surveying &amp; Project Work:</w:t>
      </w:r>
      <w:r w:rsidRPr="00832E1F">
        <w:br/>
        <w:t>- Digital surveying</w:t>
      </w:r>
      <w:r w:rsidRPr="00832E1F">
        <w:br/>
        <w:t>- Low-carbon design advice</w:t>
      </w:r>
    </w:p>
    <w:p w14:paraId="2A7D994D" w14:textId="77777777" w:rsidR="00687A70" w:rsidRDefault="00687A70" w:rsidP="000D3177"/>
    <w:p w14:paraId="4F8880E7" w14:textId="77777777" w:rsidR="00687A70" w:rsidRDefault="00687A70" w:rsidP="000D3177"/>
    <w:p w14:paraId="433C96EE" w14:textId="77777777" w:rsidR="00687A70" w:rsidRDefault="00687A70" w:rsidP="000D3177"/>
    <w:p w14:paraId="1C361174" w14:textId="77777777" w:rsidR="00687A70" w:rsidRDefault="00687A70" w:rsidP="000D3177"/>
    <w:p w14:paraId="2CAC1383" w14:textId="77777777" w:rsidR="00687A70" w:rsidRPr="00832E1F" w:rsidRDefault="00687A70" w:rsidP="000D3177"/>
    <w:p w14:paraId="2887A79A" w14:textId="77777777" w:rsidR="00F54EC4" w:rsidRDefault="00C84CE3" w:rsidP="000D3177">
      <w:pPr>
        <w:pStyle w:val="Heading1"/>
        <w:tabs>
          <w:tab w:val="left" w:pos="0"/>
        </w:tabs>
        <w:spacing w:before="360" w:after="0" w:line="244" w:lineRule="auto"/>
        <w:rPr>
          <w:b/>
          <w:sz w:val="27"/>
          <w:szCs w:val="27"/>
        </w:rPr>
      </w:pPr>
      <w:bookmarkStart w:id="28" w:name="_49x2ik5" w:colFirst="0" w:colLast="0"/>
      <w:bookmarkEnd w:id="28"/>
      <w:r w:rsidRPr="00166DF2">
        <w:rPr>
          <w:b/>
          <w:sz w:val="27"/>
          <w:szCs w:val="27"/>
        </w:rPr>
        <w:lastRenderedPageBreak/>
        <w:t>Declaration and Sign Off</w:t>
      </w:r>
    </w:p>
    <w:p w14:paraId="77359449" w14:textId="77777777" w:rsidR="00166DF2" w:rsidRPr="00166DF2" w:rsidRDefault="00166DF2" w:rsidP="00166DF2"/>
    <w:p w14:paraId="5D86B073" w14:textId="77777777" w:rsidR="00F54EC4" w:rsidRPr="00166DF2" w:rsidRDefault="00C84CE3">
      <w:pPr>
        <w:spacing w:after="300" w:line="244" w:lineRule="auto"/>
        <w:rPr>
          <w:sz w:val="27"/>
          <w:szCs w:val="27"/>
        </w:rPr>
      </w:pPr>
      <w:r w:rsidRPr="00166DF2">
        <w:rPr>
          <w:sz w:val="27"/>
          <w:szCs w:val="27"/>
        </w:rPr>
        <w:t>This Carbon Reduction Plan has been completed in accordance with PPN 006 and associated guidance and reporting standard for Carbon Reduction Plans.</w:t>
      </w:r>
    </w:p>
    <w:p w14:paraId="132C1667" w14:textId="77777777" w:rsidR="00F54EC4" w:rsidRPr="00166DF2" w:rsidRDefault="00C84CE3">
      <w:pPr>
        <w:spacing w:after="300" w:line="244" w:lineRule="auto"/>
        <w:rPr>
          <w:sz w:val="27"/>
          <w:szCs w:val="27"/>
        </w:rPr>
      </w:pPr>
      <w:r w:rsidRPr="00166DF2">
        <w:rPr>
          <w:sz w:val="27"/>
          <w:szCs w:val="27"/>
        </w:rPr>
        <w:t>Emissions have been reported and recorded in accordance with</w:t>
      </w:r>
      <w:r w:rsidRPr="00166DF2">
        <w:rPr>
          <w:color w:val="0B0C0C"/>
          <w:sz w:val="27"/>
          <w:szCs w:val="27"/>
        </w:rPr>
        <w:t xml:space="preserve"> the published reporting standard for Carbon Reduction Plans and the </w:t>
      </w:r>
      <w:r w:rsidRPr="00166DF2">
        <w:rPr>
          <w:color w:val="000000"/>
          <w:sz w:val="27"/>
          <w:szCs w:val="27"/>
        </w:rPr>
        <w:t>GHG Reporting Protocol corporate standard</w:t>
      </w:r>
      <w:r w:rsidRPr="00166DF2">
        <w:rPr>
          <w:color w:val="000000"/>
          <w:sz w:val="27"/>
          <w:szCs w:val="27"/>
          <w:vertAlign w:val="superscript"/>
        </w:rPr>
        <w:footnoteReference w:id="3"/>
      </w:r>
      <w:r w:rsidRPr="00166DF2">
        <w:rPr>
          <w:color w:val="000000"/>
          <w:sz w:val="27"/>
          <w:szCs w:val="27"/>
        </w:rPr>
        <w:t xml:space="preserve"> </w:t>
      </w:r>
      <w:r w:rsidRPr="00166DF2">
        <w:rPr>
          <w:color w:val="0B0C0C"/>
          <w:sz w:val="27"/>
          <w:szCs w:val="27"/>
        </w:rPr>
        <w:t>and uses the appropri</w:t>
      </w:r>
      <w:r w:rsidRPr="00166DF2">
        <w:rPr>
          <w:color w:val="000000"/>
          <w:sz w:val="27"/>
          <w:szCs w:val="27"/>
        </w:rPr>
        <w:t xml:space="preserve">ate </w:t>
      </w:r>
      <w:hyperlink r:id="rId10">
        <w:r w:rsidRPr="00166DF2">
          <w:rPr>
            <w:color w:val="000000"/>
            <w:sz w:val="27"/>
            <w:szCs w:val="27"/>
          </w:rPr>
          <w:t>Government emission conversion factors for greenhouse gas company reporting</w:t>
        </w:r>
      </w:hyperlink>
      <w:r w:rsidRPr="00166DF2">
        <w:rPr>
          <w:color w:val="000000"/>
          <w:sz w:val="27"/>
          <w:szCs w:val="27"/>
          <w:vertAlign w:val="superscript"/>
        </w:rPr>
        <w:footnoteReference w:id="4"/>
      </w:r>
      <w:r w:rsidRPr="00166DF2">
        <w:rPr>
          <w:color w:val="000000"/>
          <w:sz w:val="27"/>
          <w:szCs w:val="27"/>
        </w:rPr>
        <w:t>.</w:t>
      </w:r>
    </w:p>
    <w:p w14:paraId="1D64331B" w14:textId="77777777" w:rsidR="00F54EC4" w:rsidRPr="00166DF2" w:rsidRDefault="00C84CE3">
      <w:pPr>
        <w:spacing w:after="300" w:line="244" w:lineRule="auto"/>
        <w:rPr>
          <w:sz w:val="27"/>
          <w:szCs w:val="27"/>
        </w:rPr>
      </w:pPr>
      <w:r w:rsidRPr="00166DF2">
        <w:rPr>
          <w:color w:val="0B0C0C"/>
          <w:sz w:val="27"/>
          <w:szCs w:val="27"/>
        </w:rPr>
        <w:t xml:space="preserve">Scope 1 and Scope 2 emissions have been reported in accordance with SECR requirements, and the required subset of Scope 3 emissions have been reported in accordance with the published reporting standard for Carbon Reduction Plans and the </w:t>
      </w:r>
      <w:r w:rsidRPr="00166DF2">
        <w:rPr>
          <w:color w:val="000000"/>
          <w:sz w:val="27"/>
          <w:szCs w:val="27"/>
        </w:rPr>
        <w:t>Corporate Value Chain (Scope 3) Standard</w:t>
      </w:r>
      <w:r w:rsidRPr="00166DF2">
        <w:rPr>
          <w:color w:val="000000"/>
          <w:sz w:val="27"/>
          <w:szCs w:val="27"/>
          <w:vertAlign w:val="superscript"/>
        </w:rPr>
        <w:footnoteReference w:id="5"/>
      </w:r>
      <w:r w:rsidRPr="00166DF2">
        <w:rPr>
          <w:color w:val="000000"/>
          <w:sz w:val="27"/>
          <w:szCs w:val="27"/>
        </w:rPr>
        <w:t>.</w:t>
      </w:r>
    </w:p>
    <w:p w14:paraId="28094370" w14:textId="77777777" w:rsidR="00F54EC4" w:rsidRPr="00166DF2" w:rsidRDefault="00C84CE3">
      <w:pPr>
        <w:spacing w:after="300" w:line="244" w:lineRule="auto"/>
        <w:rPr>
          <w:sz w:val="27"/>
          <w:szCs w:val="27"/>
        </w:rPr>
      </w:pPr>
      <w:r w:rsidRPr="00166DF2">
        <w:rPr>
          <w:color w:val="0B0C0C"/>
          <w:sz w:val="27"/>
          <w:szCs w:val="27"/>
        </w:rPr>
        <w:t xml:space="preserve">This Carbon Reduction Plan has been reviewed and signed off </w:t>
      </w:r>
      <w:r w:rsidRPr="00166DF2">
        <w:rPr>
          <w:sz w:val="27"/>
          <w:szCs w:val="27"/>
        </w:rPr>
        <w:t>by the board of directors (or equivalent management body).</w:t>
      </w:r>
    </w:p>
    <w:p w14:paraId="066CF51C" w14:textId="77777777" w:rsidR="00F54EC4" w:rsidRDefault="00C84CE3">
      <w:pPr>
        <w:pStyle w:val="Heading4"/>
        <w:numPr>
          <w:ilvl w:val="3"/>
          <w:numId w:val="1"/>
        </w:numPr>
        <w:tabs>
          <w:tab w:val="left" w:pos="0"/>
        </w:tabs>
        <w:spacing w:after="300" w:line="244" w:lineRule="auto"/>
        <w:rPr>
          <w:sz w:val="27"/>
          <w:szCs w:val="27"/>
        </w:rPr>
      </w:pPr>
      <w:bookmarkStart w:id="29" w:name="_2p2csry" w:colFirst="0" w:colLast="0"/>
      <w:bookmarkEnd w:id="29"/>
      <w:r w:rsidRPr="00166DF2">
        <w:rPr>
          <w:sz w:val="27"/>
          <w:szCs w:val="27"/>
        </w:rPr>
        <w:t>Signed on behalf of the Supplier:</w:t>
      </w:r>
    </w:p>
    <w:p w14:paraId="6B28500C" w14:textId="1B41C7B1" w:rsidR="00491D6A" w:rsidRDefault="00491D6A" w:rsidP="00491D6A">
      <w:r w:rsidRPr="00B46559">
        <w:rPr>
          <w:noProof/>
        </w:rPr>
        <w:drawing>
          <wp:inline distT="0" distB="0" distL="0" distR="0" wp14:anchorId="4596981C" wp14:editId="3D563699">
            <wp:extent cx="866775" cy="690172"/>
            <wp:effectExtent l="0" t="0" r="0" b="0"/>
            <wp:docPr id="184341620" name="Picture 18434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1821" cy="702153"/>
                    </a:xfrm>
                    <a:prstGeom prst="rect">
                      <a:avLst/>
                    </a:prstGeom>
                    <a:noFill/>
                    <a:ln>
                      <a:noFill/>
                    </a:ln>
                  </pic:spPr>
                </pic:pic>
              </a:graphicData>
            </a:graphic>
          </wp:inline>
        </w:drawing>
      </w:r>
    </w:p>
    <w:p w14:paraId="3C655256" w14:textId="00BC989D" w:rsidR="008834BF" w:rsidRDefault="008834BF" w:rsidP="00491D6A">
      <w:r>
        <w:t>Ian Bagnall, FRICS</w:t>
      </w:r>
    </w:p>
    <w:p w14:paraId="51695F1F" w14:textId="77777777" w:rsidR="008834BF" w:rsidRDefault="008834BF" w:rsidP="00491D6A">
      <w:r>
        <w:t>Partner</w:t>
      </w:r>
    </w:p>
    <w:p w14:paraId="122AC681" w14:textId="784D880D" w:rsidR="008834BF" w:rsidRDefault="008834BF" w:rsidP="00491D6A">
      <w:r>
        <w:t>T&amp;R LLP</w:t>
      </w:r>
    </w:p>
    <w:p w14:paraId="33D55C46" w14:textId="77777777" w:rsidR="00491D6A" w:rsidRPr="00491D6A" w:rsidRDefault="00491D6A" w:rsidP="00491D6A"/>
    <w:p w14:paraId="3A1BBB52" w14:textId="57952639" w:rsidR="00F54EC4" w:rsidRDefault="00C84CE3">
      <w:pPr>
        <w:spacing w:after="300" w:line="244" w:lineRule="auto"/>
      </w:pPr>
      <w:r>
        <w:rPr>
          <w:color w:val="0B0C0C"/>
        </w:rPr>
        <w:t xml:space="preserve">Date: </w:t>
      </w:r>
      <w:r w:rsidR="00491D6A">
        <w:rPr>
          <w:color w:val="0B0C0C"/>
        </w:rPr>
        <w:t>03/10/2025</w:t>
      </w:r>
      <w:r>
        <w:rPr>
          <w:color w:val="0B0C0C"/>
        </w:rPr>
        <w:t>.</w:t>
      </w:r>
    </w:p>
    <w:p w14:paraId="54EE1746" w14:textId="77777777" w:rsidR="00F54EC4" w:rsidRDefault="00F54EC4">
      <w:pPr>
        <w:rPr>
          <w:highlight w:val="yellow"/>
        </w:rPr>
      </w:pPr>
      <w:bookmarkStart w:id="30" w:name="_147n2zr" w:colFirst="0" w:colLast="0"/>
      <w:bookmarkEnd w:id="30"/>
    </w:p>
    <w:p w14:paraId="4CFFB424" w14:textId="77777777" w:rsidR="00F54EC4" w:rsidRDefault="00F54EC4"/>
    <w:sectPr w:rsidR="00F54EC4">
      <w:headerReference w:type="default" r:id="rId12"/>
      <w:pgSz w:w="11906" w:h="16838"/>
      <w:pgMar w:top="1440" w:right="1440" w:bottom="72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FCD7" w14:textId="77777777" w:rsidR="002B433F" w:rsidRDefault="002B433F">
      <w:pPr>
        <w:spacing w:line="240" w:lineRule="auto"/>
      </w:pPr>
      <w:r>
        <w:separator/>
      </w:r>
    </w:p>
  </w:endnote>
  <w:endnote w:type="continuationSeparator" w:id="0">
    <w:p w14:paraId="0B97738A" w14:textId="77777777" w:rsidR="002B433F" w:rsidRDefault="002B4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5F0A" w14:textId="77777777" w:rsidR="002B433F" w:rsidRDefault="002B433F">
      <w:pPr>
        <w:spacing w:line="240" w:lineRule="auto"/>
      </w:pPr>
      <w:r>
        <w:separator/>
      </w:r>
    </w:p>
  </w:footnote>
  <w:footnote w:type="continuationSeparator" w:id="0">
    <w:p w14:paraId="3846C183" w14:textId="77777777" w:rsidR="002B433F" w:rsidRDefault="002B433F">
      <w:pPr>
        <w:spacing w:line="240" w:lineRule="auto"/>
      </w:pPr>
      <w:r>
        <w:continuationSeparator/>
      </w:r>
    </w:p>
  </w:footnote>
  <w:footnote w:id="1">
    <w:p w14:paraId="5D060B74" w14:textId="77777777" w:rsidR="00F54EC4" w:rsidRDefault="00C84CE3">
      <w:r>
        <w:rPr>
          <w:vertAlign w:val="superscript"/>
        </w:rPr>
        <w:footnoteRef/>
      </w:r>
      <w:r>
        <w:rPr>
          <w:sz w:val="16"/>
          <w:szCs w:val="16"/>
        </w:rPr>
        <w:tab/>
        <w:t xml:space="preserve">Bidding supplier or ‘bidding entity’ means the organisation with whom the contracting authority will </w:t>
      </w:r>
      <w:proofErr w:type="gramStart"/>
      <w:r>
        <w:rPr>
          <w:sz w:val="16"/>
          <w:szCs w:val="16"/>
        </w:rPr>
        <w:t>enter into</w:t>
      </w:r>
      <w:proofErr w:type="gramEnd"/>
      <w:r>
        <w:rPr>
          <w:sz w:val="16"/>
          <w:szCs w:val="16"/>
        </w:rPr>
        <w:t xml:space="preserve"> a contract if it is successful.</w:t>
      </w:r>
    </w:p>
  </w:footnote>
  <w:footnote w:id="2">
    <w:p w14:paraId="4BF24C96" w14:textId="77777777" w:rsidR="00F54EC4" w:rsidRDefault="00C84CE3">
      <w:r>
        <w:rPr>
          <w:vertAlign w:val="superscript"/>
        </w:rPr>
        <w:footnoteRef/>
      </w:r>
      <w:r>
        <w:rPr>
          <w:sz w:val="16"/>
          <w:szCs w:val="16"/>
        </w:rPr>
        <w:tab/>
        <w:t xml:space="preserve">Technical Standard </w:t>
      </w:r>
      <w:r>
        <w:rPr>
          <w:color w:val="000000"/>
          <w:sz w:val="16"/>
          <w:szCs w:val="16"/>
        </w:rPr>
        <w:t>can be found at: https://assets.publishing.service.gov.uk/government/uploads/system/uploads/attachment_data/file/991625/PPN_0621_Technical_standard_for_the_Completion_of_Carbon_Reduction_Plans__2_.pdf</w:t>
      </w:r>
    </w:p>
  </w:footnote>
  <w:footnote w:id="3">
    <w:p w14:paraId="29710277" w14:textId="77777777" w:rsidR="00F54EC4" w:rsidRDefault="00C84CE3">
      <w:pPr>
        <w:spacing w:line="240" w:lineRule="auto"/>
      </w:pPr>
      <w:r>
        <w:rPr>
          <w:vertAlign w:val="superscript"/>
        </w:rPr>
        <w:footnoteRef/>
      </w:r>
      <w:hyperlink r:id="rId1">
        <w:r>
          <w:rPr>
            <w:color w:val="0000FF"/>
            <w:sz w:val="20"/>
            <w:szCs w:val="20"/>
            <w:u w:val="single"/>
          </w:rPr>
          <w:tab/>
          <w:t>https://ghgprotocol.org/corporate-standard</w:t>
        </w:r>
      </w:hyperlink>
    </w:p>
  </w:footnote>
  <w:footnote w:id="4">
    <w:p w14:paraId="6F785F40" w14:textId="77777777" w:rsidR="00F54EC4" w:rsidRDefault="00C84CE3">
      <w:pPr>
        <w:spacing w:line="240" w:lineRule="auto"/>
      </w:pPr>
      <w:r>
        <w:rPr>
          <w:vertAlign w:val="superscript"/>
        </w:rPr>
        <w:footnoteRef/>
      </w:r>
      <w:hyperlink r:id="rId2">
        <w:r>
          <w:rPr>
            <w:color w:val="0000FF"/>
            <w:sz w:val="20"/>
            <w:szCs w:val="20"/>
            <w:u w:val="single"/>
          </w:rPr>
          <w:tab/>
          <w:t>https://www.gov.uk/government/collections/government-conversion-factors-for-company-reporting</w:t>
        </w:r>
      </w:hyperlink>
    </w:p>
  </w:footnote>
  <w:footnote w:id="5">
    <w:p w14:paraId="77EB1A26" w14:textId="77777777" w:rsidR="00F54EC4" w:rsidRDefault="00C84CE3">
      <w:pPr>
        <w:spacing w:line="240" w:lineRule="auto"/>
      </w:pPr>
      <w:r>
        <w:rPr>
          <w:vertAlign w:val="superscript"/>
        </w:rPr>
        <w:footnoteRef/>
      </w:r>
      <w:hyperlink r:id="rId3">
        <w:r>
          <w:rPr>
            <w:color w:val="0000FF"/>
            <w:sz w:val="20"/>
            <w:szCs w:val="20"/>
            <w:u w:val="single"/>
          </w:rPr>
          <w:tab/>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AA" w14:textId="77777777" w:rsidR="00F54EC4" w:rsidRDefault="00F54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F1CC8"/>
    <w:multiLevelType w:val="multilevel"/>
    <w:tmpl w:val="AFB68EC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74AF36D3"/>
    <w:multiLevelType w:val="multilevel"/>
    <w:tmpl w:val="D310C26E"/>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16cid:durableId="141623733">
    <w:abstractNumId w:val="0"/>
  </w:num>
  <w:num w:numId="2" w16cid:durableId="2024630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C4"/>
    <w:rsid w:val="000B602A"/>
    <w:rsid w:val="000D3177"/>
    <w:rsid w:val="00102819"/>
    <w:rsid w:val="00132B9B"/>
    <w:rsid w:val="001643AE"/>
    <w:rsid w:val="00166DF2"/>
    <w:rsid w:val="001D2F0F"/>
    <w:rsid w:val="00216930"/>
    <w:rsid w:val="00236C9B"/>
    <w:rsid w:val="002A43C6"/>
    <w:rsid w:val="002B433F"/>
    <w:rsid w:val="00491D6A"/>
    <w:rsid w:val="00530A46"/>
    <w:rsid w:val="00687A70"/>
    <w:rsid w:val="008834BF"/>
    <w:rsid w:val="00C62F36"/>
    <w:rsid w:val="00C84CE3"/>
    <w:rsid w:val="00D06DDC"/>
    <w:rsid w:val="00E76143"/>
    <w:rsid w:val="00EB0F73"/>
    <w:rsid w:val="00F23748"/>
    <w:rsid w:val="00F54EC4"/>
    <w:rsid w:val="00F65ACE"/>
    <w:rsid w:val="00FA5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68D0"/>
  <w15:docId w15:val="{C28F19AF-2864-4FB7-B23D-8C52BAE2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line="240" w:lineRule="auto"/>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line="240" w:lineRule="auto"/>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120" w:line="268" w:lineRule="auto"/>
      <w:jc w:val="both"/>
      <w:outlineLvl w:val="3"/>
    </w:pPr>
    <w:rPr>
      <w:b/>
      <w:color w:val="00488C"/>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line="240" w:lineRule="auto"/>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2" w:type="dxa"/>
        <w:bottom w:w="100" w:type="dxa"/>
        <w:right w:w="100" w:type="dxa"/>
      </w:tblCellMar>
    </w:tblPr>
  </w:style>
  <w:style w:type="paragraph" w:styleId="ListParagraph">
    <w:name w:val="List Paragraph"/>
    <w:basedOn w:val="Normal"/>
    <w:uiPriority w:val="34"/>
    <w:qFormat/>
    <w:rsid w:val="00D06DDC"/>
    <w:pPr>
      <w:ind w:left="720"/>
      <w:contextualSpacing/>
    </w:pPr>
  </w:style>
  <w:style w:type="table" w:styleId="TableGrid">
    <w:name w:val="Table Grid"/>
    <w:basedOn w:val="TableNormal"/>
    <w:uiPriority w:val="39"/>
    <w:rsid w:val="00D06D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https://www.gov.uk/government/collections/government-conversion-factors-for-company-reporting" TargetMode="External"/><Relationship Id="rId4" Type="http://schemas.openxmlformats.org/officeDocument/2006/relationships/webSettings" Target="webSettings.xml"/><Relationship Id="rId9" Type="http://schemas.openxmlformats.org/officeDocument/2006/relationships/image" Target="cid:image004.png@01DC345E.549DA52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Harford</dc:creator>
  <cp:lastModifiedBy>Ian Bagnall</cp:lastModifiedBy>
  <cp:revision>2</cp:revision>
  <cp:lastPrinted>2025-10-03T08:44:00Z</cp:lastPrinted>
  <dcterms:created xsi:type="dcterms:W3CDTF">2026-01-27T09:28:00Z</dcterms:created>
  <dcterms:modified xsi:type="dcterms:W3CDTF">2026-01-27T09:28:00Z</dcterms:modified>
</cp:coreProperties>
</file>